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宋体" w:hAnsi="宋体" w:cs="宋体"/>
          <w:b/>
          <w:bCs/>
          <w:color w:val="000000" w:themeColor="text1"/>
          <w:sz w:val="84"/>
          <w:highlight w:val="none"/>
          <w14:textFill>
            <w14:solidFill>
              <w14:schemeClr w14:val="tx1"/>
            </w14:solidFill>
          </w14:textFill>
        </w:rPr>
      </w:pPr>
      <w:r>
        <w:rPr>
          <w:rFonts w:ascii="宋体" w:hAnsi="宋体" w:cs="宋体"/>
          <w:b/>
          <w:bCs/>
          <w:color w:val="000000" w:themeColor="text1"/>
          <w:sz w:val="84"/>
          <w:highlight w:val="none"/>
          <w14:textFill>
            <w14:solidFill>
              <w14:schemeClr w14:val="tx1"/>
            </w14:solidFill>
          </w14:textFill>
        </w:rPr>
      </w:r>
      <w:r/>
    </w:p>
    <w:p>
      <w:pPr>
        <w:jc w:val="center"/>
        <w:spacing w:before="120" w:after="120" w:line="360" w:lineRule="auto"/>
        <w:rPr>
          <w:rFonts w:ascii="宋体" w:hAnsi="宋体" w:cs="宋体"/>
          <w:b/>
          <w:bCs/>
          <w:color w:val="000000" w:themeColor="text1"/>
          <w:sz w:val="84"/>
          <w:highlight w:val="none"/>
          <w14:textFill>
            <w14:solidFill>
              <w14:schemeClr w14:val="tx1"/>
            </w14:solidFill>
          </w14:textFill>
        </w:rPr>
      </w:pPr>
      <w:r>
        <w:rPr>
          <w:rFonts w:hint="eastAsia" w:ascii="宋体" w:hAnsi="宋体" w:cs="宋体"/>
          <w:b/>
          <w:bCs/>
          <w:color w:val="000000" w:themeColor="text1"/>
          <w:sz w:val="84"/>
          <w:highlight w:val="none"/>
          <w14:textFill>
            <w14:solidFill>
              <w14:schemeClr w14:val="tx1"/>
            </w14:solidFill>
          </w14:textFill>
        </w:rPr>
        <w:t xml:space="preserve">招　标　文　件</w:t>
      </w:r>
      <w:r/>
    </w:p>
    <w:p>
      <w:pPr>
        <w:ind w:firstLine="643"/>
        <w:jc w:val="left"/>
        <w:spacing w:before="120" w:after="120" w:line="360" w:lineRule="auto"/>
        <w:rPr>
          <w:rFonts w:ascii="宋体" w:hAnsi="宋体" w:cs="宋体"/>
          <w:b/>
          <w:bCs/>
          <w:color w:val="000000" w:themeColor="text1"/>
          <w:sz w:val="32"/>
          <w:highlight w:val="none"/>
          <w14:textFill>
            <w14:solidFill>
              <w14:schemeClr w14:val="tx1"/>
            </w14:solidFill>
          </w14:textFill>
        </w:rPr>
      </w:pPr>
      <w:r>
        <w:rPr>
          <w:rFonts w:hint="eastAsia" w:ascii="宋体" w:hAnsi="宋体" w:cs="宋体"/>
          <w:b/>
          <w:bCs/>
          <w:color w:val="000000" w:themeColor="text1"/>
          <w:sz w:val="32"/>
          <w:highlight w:val="none"/>
          <w14:textFill>
            <w14:solidFill>
              <w14:schemeClr w14:val="tx1"/>
            </w14:solidFill>
          </w14:textFill>
        </w:rPr>
        <w:t xml:space="preserve">项目名称：江苏省交通技师学院全光网络建设项目</w:t>
      </w:r>
      <w:r/>
    </w:p>
    <w:p>
      <w:pPr>
        <w:ind w:firstLine="643"/>
        <w:jc w:val="left"/>
        <w:spacing w:before="120" w:after="120" w:line="360" w:lineRule="auto"/>
        <w:rPr>
          <w:rFonts w:ascii="宋体" w:hAnsi="宋体" w:cs="宋体"/>
          <w:b/>
          <w:bCs/>
          <w:color w:val="000000" w:themeColor="text1"/>
          <w:sz w:val="32"/>
          <w:highlight w:val="none"/>
          <w14:textFill>
            <w14:solidFill>
              <w14:schemeClr w14:val="tx1"/>
            </w14:solidFill>
          </w14:textFill>
        </w:rPr>
      </w:pPr>
      <w:r>
        <w:rPr>
          <w:rFonts w:hint="eastAsia" w:ascii="宋体" w:hAnsi="宋体" w:cs="宋体"/>
          <w:b/>
          <w:bCs/>
          <w:color w:val="000000" w:themeColor="text1"/>
          <w:sz w:val="32"/>
          <w:highlight w:val="none"/>
          <w14:textFill>
            <w14:solidFill>
              <w14:schemeClr w14:val="tx1"/>
            </w14:solidFill>
          </w14:textFill>
        </w:rPr>
        <w:t xml:space="preserve">项目编号：JSZC-320000-JSJW-G2026-0036</w:t>
      </w:r>
      <w:r/>
    </w:p>
    <w:p>
      <w:pPr>
        <w:pStyle w:val="942"/>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ind w:left="2800" w:hanging="2800"/>
        <w:spacing w:line="360" w:lineRule="auto"/>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w:t>
      </w:r>
      <w:r>
        <w:rPr>
          <w:rFonts w:hint="eastAsia" w:ascii="宋体" w:hAnsi="宋体" w:cs="宋体"/>
          <w:b/>
          <w:color w:val="000000" w:themeColor="text1"/>
          <w:sz w:val="28"/>
          <w:szCs w:val="28"/>
          <w:highlight w:val="none"/>
          <w14:textFill>
            <w14:solidFill>
              <w14:schemeClr w14:val="tx1"/>
            </w14:solidFill>
          </w14:textFill>
        </w:rPr>
        <w:t xml:space="preserve"> </w:t>
      </w:r>
      <w:r/>
    </w:p>
    <w:p>
      <w:pPr>
        <w:ind w:left="2295" w:hanging="156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 </w:t>
      </w:r>
      <w:r/>
    </w:p>
    <w:p>
      <w:pPr>
        <w:jc w:val="left"/>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360" w:lineRule="auto"/>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采购人：江苏省交通技师学院</w:t>
      </w:r>
      <w:r/>
    </w:p>
    <w:p>
      <w:pPr>
        <w:jc w:val="center"/>
        <w:spacing w:line="360" w:lineRule="auto"/>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采购代理机构：江苏建威建设管理有限公司</w:t>
      </w:r>
      <w:r/>
    </w:p>
    <w:p>
      <w:pPr>
        <w:pStyle w:val="884"/>
        <w:ind w:firstLine="0"/>
        <w:jc w:val="center"/>
        <w:spacing w:before="0" w:after="0" w:line="240" w:lineRule="auto"/>
        <w:rPr>
          <w:rFonts w:ascii="宋体" w:hAnsi="宋体" w:cs="宋体"/>
          <w:color w:val="000000" w:themeColor="text1"/>
          <w:sz w:val="28"/>
          <w:szCs w:val="28"/>
          <w:highlight w:val="none"/>
          <w:lang w:eastAsia="zh-CN"/>
          <w14:textFill>
            <w14:solidFill>
              <w14:schemeClr w14:val="tx1"/>
            </w14:solidFill>
          </w14:textFill>
        </w:rPr>
      </w:pPr>
      <w:r>
        <w:rPr>
          <w:rFonts w:hint="eastAsia" w:ascii="宋体" w:hAnsi="宋体" w:cs="宋体"/>
          <w:b/>
          <w:color w:val="000000" w:themeColor="text1"/>
          <w:sz w:val="36"/>
          <w:szCs w:val="36"/>
          <w:highlight w:val="none"/>
          <w:lang w:eastAsia="zh-CN"/>
          <w14:textFill>
            <w14:solidFill>
              <w14:schemeClr w14:val="tx1"/>
            </w14:solidFill>
          </w14:textFill>
        </w:rPr>
        <w:t xml:space="preserve">二〇二六年七月</w:t>
      </w:r>
      <w:r>
        <w:rPr>
          <w:rFonts w:hint="eastAsia" w:ascii="宋体" w:hAnsi="宋体" w:cs="宋体"/>
          <w:b/>
          <w:color w:val="000000" w:themeColor="text1"/>
          <w:sz w:val="36"/>
          <w:szCs w:val="36"/>
          <w:highlight w:val="none"/>
          <w:lang w:val="en-US" w:eastAsia="zh-CN"/>
          <w14:textFill>
            <w14:solidFill>
              <w14:schemeClr w14:val="tx1"/>
            </w14:solidFill>
          </w14:textFill>
        </w:rPr>
        <w:t xml:space="preserve">二十七</w:t>
      </w:r>
      <w:r>
        <w:rPr>
          <w:rFonts w:hint="eastAsia" w:ascii="宋体" w:hAnsi="宋体" w:cs="宋体"/>
          <w:b/>
          <w:color w:val="000000" w:themeColor="text1"/>
          <w:sz w:val="36"/>
          <w:szCs w:val="36"/>
          <w:highlight w:val="none"/>
          <w:lang w:eastAsia="zh-CN"/>
          <w14:textFill>
            <w14:solidFill>
              <w14:schemeClr w14:val="tx1"/>
            </w14:solidFill>
          </w14:textFill>
        </w:rPr>
        <w:t xml:space="preserve">日</w:t>
      </w:r>
      <w:r/>
    </w:p>
    <w:p>
      <w:pPr>
        <w:jc w:val="center"/>
        <w:rPr>
          <w:rFonts w:ascii="宋体" w:hAnsi="宋体" w:cs="宋体"/>
          <w:b/>
          <w:bCs/>
          <w:color w:val="000000" w:themeColor="text1"/>
          <w:sz w:val="36"/>
          <w:szCs w:val="36"/>
          <w:highlight w:val="none"/>
          <w14:textFill>
            <w14:solidFill>
              <w14:schemeClr w14:val="tx1"/>
            </w14:solidFill>
          </w14:textFill>
        </w:rPr>
        <w:outlineLvl w:val="0"/>
      </w:pPr>
      <w:r/>
      <w:bookmarkStart w:id="0" w:name="_Toc8485109"/>
      <w:r/>
      <w:bookmarkStart w:id="1" w:name="_Toc8482900"/>
      <w:r/>
      <w:bookmarkStart w:id="2" w:name="_Toc8484864"/>
      <w:r/>
      <w:bookmarkStart w:id="3" w:name="_Toc120614210"/>
      <w:r/>
      <w:bookmarkStart w:id="4" w:name="_Toc523127445"/>
      <w:r/>
      <w:bookmarkStart w:id="5" w:name="_Toc16938516"/>
      <w:r/>
      <w:bookmarkStart w:id="6" w:name="_Toc479757206"/>
      <w:r/>
      <w:bookmarkStart w:id="7" w:name="_Toc513029200"/>
      <w:r/>
      <w:bookmarkStart w:id="8" w:name="_Toc20823272"/>
      <w:r>
        <w:rPr>
          <w:rFonts w:hint="eastAsia" w:ascii="宋体" w:hAnsi="宋体" w:cs="宋体"/>
          <w:color w:val="000000" w:themeColor="text1"/>
          <w:highlight w:val="none"/>
          <w14:textFill>
            <w14:solidFill>
              <w14:schemeClr w14:val="tx1"/>
            </w14:solidFill>
          </w14:textFill>
        </w:rPr>
        <w:br w:type="page" w:clear="all"/>
      </w:r>
      <w:bookmarkStart w:id="9" w:name="_Toc8831877"/>
      <w:r>
        <w:rPr>
          <w:rFonts w:hint="eastAsia" w:ascii="宋体" w:hAnsi="宋体" w:cs="宋体"/>
          <w:b/>
          <w:bCs/>
          <w:color w:val="000000" w:themeColor="text1"/>
          <w:sz w:val="36"/>
          <w:szCs w:val="36"/>
          <w:highlight w:val="none"/>
          <w14:textFill>
            <w14:solidFill>
              <w14:schemeClr w14:val="tx1"/>
            </w14:solidFill>
          </w14:textFill>
        </w:rPr>
        <w:t xml:space="preserve">目录</w:t>
      </w:r>
      <w:bookmarkEnd w:id="0"/>
      <w:r/>
      <w:bookmarkEnd w:id="1"/>
      <w:r/>
      <w:bookmarkEnd w:id="2"/>
      <w:r/>
      <w:bookmarkEnd w:id="9"/>
      <w:r/>
      <w:bookmarkStart w:id="10" w:name="_Toc9363424"/>
      <w:r/>
      <w:bookmarkStart w:id="11" w:name="_Toc8485110"/>
      <w:r/>
      <w:r/>
    </w:p>
    <w:p>
      <w:pPr>
        <w:pStyle w:val="690"/>
        <w:spacing w:line="360" w:lineRule="auto"/>
        <w:rPr>
          <w:rStyle w:val="859"/>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684"/>
        <w:jc w:val="both"/>
        <w:spacing w:before="0" w:after="0" w:line="420" w:lineRule="auto"/>
        <w:rPr>
          <w:rStyle w:val="859"/>
          <w:rFonts w:ascii="宋体" w:hAnsi="宋体" w:eastAsia="宋体" w:cs="宋体"/>
          <w:bCs/>
          <w:color w:val="000000" w:themeColor="text1"/>
          <w:sz w:val="24"/>
          <w:szCs w:val="24"/>
          <w:highlight w:val="none"/>
          <w:u w:val="none"/>
          <w14:textFill>
            <w14:solidFill>
              <w14:schemeClr w14:val="tx1"/>
            </w14:solidFill>
          </w14:textFill>
        </w:rPr>
      </w:pPr>
      <w:r>
        <w:rPr>
          <w:rStyle w:val="859"/>
          <w:rFonts w:hint="eastAsia" w:ascii="宋体" w:hAnsi="宋体" w:eastAsia="宋体" w:cs="宋体"/>
          <w:bCs/>
          <w:color w:val="000000" w:themeColor="text1"/>
          <w:sz w:val="24"/>
          <w:szCs w:val="24"/>
          <w:highlight w:val="none"/>
          <w:u w:val="none"/>
          <w14:textFill>
            <w14:solidFill>
              <w14:schemeClr w14:val="tx1"/>
            </w14:solidFill>
          </w14:textFill>
        </w:rPr>
        <w:fldChar w:fldCharType="begin"/>
      </w:r>
      <w:r>
        <w:rPr>
          <w:rStyle w:val="859"/>
          <w:rFonts w:hint="eastAsia" w:ascii="宋体" w:hAnsi="宋体" w:eastAsia="宋体" w:cs="宋体"/>
          <w:bCs/>
          <w:color w:val="000000" w:themeColor="text1"/>
          <w:sz w:val="24"/>
          <w:szCs w:val="24"/>
          <w:highlight w:val="none"/>
          <w:u w:val="none"/>
          <w14:textFill>
            <w14:solidFill>
              <w14:schemeClr w14:val="tx1"/>
            </w14:solidFill>
          </w14:textFill>
        </w:rPr>
        <w:instrText xml:space="preserve"> TOC \o "1-2" \h \z \u </w:instrText>
      </w:r>
      <w:r>
        <w:rPr>
          <w:rStyle w:val="859"/>
          <w:rFonts w:hint="eastAsia" w:ascii="宋体" w:hAnsi="宋体" w:eastAsia="宋体" w:cs="宋体"/>
          <w:bCs/>
          <w:color w:val="000000" w:themeColor="text1"/>
          <w:sz w:val="24"/>
          <w:szCs w:val="24"/>
          <w:highlight w:val="none"/>
          <w:u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"_Toc226126992" </w:instrText>
      </w:r>
      <w:r>
        <w:rPr>
          <w:color w:val="000000" w:themeColor="text1"/>
          <w:highlight w:val="none"/>
          <w14:textFill>
            <w14:solidFill>
              <w14:schemeClr w14:val="tx1"/>
            </w14:solidFill>
          </w14:textFill>
        </w:rPr>
        <w:fldChar w:fldCharType="separate"/>
      </w:r>
      <w:r>
        <w:rPr>
          <w:rStyle w:val="859"/>
          <w:rFonts w:hint="eastAsia" w:ascii="宋体" w:hAnsi="宋体" w:eastAsia="宋体" w:cs="宋体"/>
          <w:bCs/>
          <w:color w:val="000000" w:themeColor="text1"/>
          <w:sz w:val="24"/>
          <w:szCs w:val="24"/>
          <w:highlight w:val="none"/>
          <w:u w:val="none"/>
          <w14:textFill>
            <w14:solidFill>
              <w14:schemeClr w14:val="tx1"/>
            </w14:solidFill>
          </w14:textFill>
        </w:rPr>
        <w:t xml:space="preserve">第一章 投标邀请</w:t>
      </w:r>
      <w:r>
        <w:rPr>
          <w:rStyle w:val="859"/>
          <w:rFonts w:hint="eastAsia" w:ascii="宋体" w:hAnsi="宋体" w:eastAsia="宋体" w:cs="宋体"/>
          <w:bCs/>
          <w:color w:val="000000" w:themeColor="text1"/>
          <w:sz w:val="24"/>
          <w:szCs w:val="24"/>
          <w:highlight w:val="none"/>
          <w:u w:val="none"/>
          <w14:textFill>
            <w14:solidFill>
              <w14:schemeClr w14:val="tx1"/>
            </w14:solidFill>
          </w14:textFill>
        </w:rPr>
        <w:tab/>
      </w:r>
      <w:r>
        <w:rPr>
          <w:rStyle w:val="859"/>
          <w:rFonts w:hint="eastAsia" w:ascii="宋体" w:hAnsi="宋体" w:eastAsia="宋体" w:cs="宋体"/>
          <w:bCs/>
          <w:color w:val="000000" w:themeColor="text1"/>
          <w:sz w:val="24"/>
          <w:szCs w:val="24"/>
          <w:highlight w:val="none"/>
          <w:u w:val="none"/>
          <w14:textFill>
            <w14:solidFill>
              <w14:schemeClr w14:val="tx1"/>
            </w14:solidFill>
          </w14:textFill>
        </w:rPr>
        <w:fldChar w:fldCharType="begin"/>
      </w:r>
      <w:r>
        <w:rPr>
          <w:rStyle w:val="859"/>
          <w:rFonts w:hint="eastAsia" w:ascii="宋体" w:hAnsi="宋体" w:eastAsia="宋体" w:cs="宋体"/>
          <w:bCs/>
          <w:color w:val="000000" w:themeColor="text1"/>
          <w:sz w:val="24"/>
          <w:szCs w:val="24"/>
          <w:highlight w:val="none"/>
          <w:u w:val="none"/>
          <w14:textFill>
            <w14:solidFill>
              <w14:schemeClr w14:val="tx1"/>
            </w14:solidFill>
          </w14:textFill>
        </w:rPr>
        <w:instrText xml:space="preserve"> PAGEREF _Toc226126992 \h </w:instrText>
      </w:r>
      <w:r>
        <w:rPr>
          <w:rStyle w:val="859"/>
          <w:rFonts w:hint="eastAsia" w:ascii="宋体" w:hAnsi="宋体" w:eastAsia="宋体" w:cs="宋体"/>
          <w:bCs/>
          <w:color w:val="000000" w:themeColor="text1"/>
          <w:sz w:val="24"/>
          <w:szCs w:val="24"/>
          <w:highlight w:val="none"/>
          <w:u w:val="none"/>
          <w14:textFill>
            <w14:solidFill>
              <w14:schemeClr w14:val="tx1"/>
            </w14:solidFill>
          </w14:textFill>
        </w:rPr>
        <w:fldChar w:fldCharType="separate"/>
      </w:r>
      <w:r>
        <w:rPr>
          <w:rStyle w:val="859"/>
          <w:rFonts w:hint="eastAsia" w:ascii="宋体" w:hAnsi="宋体" w:eastAsia="宋体" w:cs="宋体"/>
          <w:bCs/>
          <w:color w:val="000000" w:themeColor="text1"/>
          <w:sz w:val="24"/>
          <w:szCs w:val="24"/>
          <w:highlight w:val="none"/>
          <w:u w:val="none"/>
          <w14:textFill>
            <w14:solidFill>
              <w14:schemeClr w14:val="tx1"/>
            </w14:solidFill>
          </w14:textFill>
        </w:rPr>
        <w:t xml:space="preserve">3</w:t>
      </w:r>
      <w:r>
        <w:rPr>
          <w:rStyle w:val="859"/>
          <w:rFonts w:hint="eastAsia" w:ascii="宋体" w:hAnsi="宋体" w:eastAsia="宋体" w:cs="宋体"/>
          <w:bCs/>
          <w:color w:val="000000" w:themeColor="text1"/>
          <w:sz w:val="24"/>
          <w:szCs w:val="24"/>
          <w:highlight w:val="none"/>
          <w:u w:val="none"/>
          <w14:textFill>
            <w14:solidFill>
              <w14:schemeClr w14:val="tx1"/>
            </w14:solidFill>
          </w14:textFill>
        </w:rPr>
        <w:fldChar w:fldCharType="end"/>
      </w:r>
      <w:r>
        <w:rPr>
          <w:rStyle w:val="859"/>
          <w:rFonts w:hint="eastAsia" w:ascii="宋体" w:hAnsi="宋体" w:eastAsia="宋体" w:cs="宋体"/>
          <w:bCs/>
          <w:color w:val="000000" w:themeColor="text1"/>
          <w:sz w:val="24"/>
          <w:szCs w:val="24"/>
          <w:highlight w:val="none"/>
          <w:u w:val="none"/>
          <w14:textFill>
            <w14:solidFill>
              <w14:schemeClr w14:val="tx1"/>
            </w14:solidFill>
          </w14:textFill>
        </w:rPr>
        <w:fldChar w:fldCharType="end"/>
      </w:r>
      <w:r/>
    </w:p>
    <w:p>
      <w:pPr>
        <w:pStyle w:val="684"/>
        <w:jc w:val="both"/>
        <w:spacing w:before="0" w:after="0" w:line="420" w:lineRule="auto"/>
        <w:rPr>
          <w:rStyle w:val="859"/>
          <w:rFonts w:ascii="宋体" w:hAnsi="宋体" w:eastAsia="宋体" w:cs="宋体"/>
          <w:bCs/>
          <w:color w:val="000000" w:themeColor="text1"/>
          <w:sz w:val="24"/>
          <w:szCs w:val="24"/>
          <w:highlight w:val="none"/>
          <w:u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"_Toc226126993" </w:instrText>
      </w:r>
      <w:r>
        <w:rPr>
          <w:color w:val="000000" w:themeColor="text1"/>
          <w:highlight w:val="none"/>
          <w14:textFill>
            <w14:solidFill>
              <w14:schemeClr w14:val="tx1"/>
            </w14:solidFill>
          </w14:textFill>
        </w:rPr>
        <w:fldChar w:fldCharType="separate"/>
      </w:r>
      <w:r>
        <w:rPr>
          <w:rStyle w:val="859"/>
          <w:rFonts w:hint="eastAsia" w:ascii="宋体" w:hAnsi="宋体" w:eastAsia="宋体" w:cs="宋体"/>
          <w:bCs/>
          <w:color w:val="000000" w:themeColor="text1"/>
          <w:sz w:val="24"/>
          <w:szCs w:val="24"/>
          <w:highlight w:val="none"/>
          <w:u w:val="none"/>
          <w14:textFill>
            <w14:solidFill>
              <w14:schemeClr w14:val="tx1"/>
            </w14:solidFill>
          </w14:textFill>
        </w:rPr>
        <w:t xml:space="preserve">第二章 投标人须知</w:t>
      </w:r>
      <w:r>
        <w:rPr>
          <w:rStyle w:val="859"/>
          <w:rFonts w:hint="eastAsia" w:ascii="宋体" w:hAnsi="宋体" w:eastAsia="宋体" w:cs="宋体"/>
          <w:bCs/>
          <w:color w:val="000000" w:themeColor="text1"/>
          <w:sz w:val="24"/>
          <w:szCs w:val="24"/>
          <w:highlight w:val="none"/>
          <w:u w:val="none"/>
          <w14:textFill>
            <w14:solidFill>
              <w14:schemeClr w14:val="tx1"/>
            </w14:solidFill>
          </w14:textFill>
        </w:rPr>
        <w:tab/>
      </w:r>
      <w:r>
        <w:rPr>
          <w:rStyle w:val="859"/>
          <w:rFonts w:hint="eastAsia" w:ascii="宋体" w:hAnsi="宋体" w:eastAsia="宋体" w:cs="宋体"/>
          <w:bCs/>
          <w:color w:val="000000" w:themeColor="text1"/>
          <w:sz w:val="24"/>
          <w:szCs w:val="24"/>
          <w:highlight w:val="none"/>
          <w:u w:val="none"/>
          <w14:textFill>
            <w14:solidFill>
              <w14:schemeClr w14:val="tx1"/>
            </w14:solidFill>
          </w14:textFill>
        </w:rPr>
        <w:fldChar w:fldCharType="begin"/>
      </w:r>
      <w:r>
        <w:rPr>
          <w:rStyle w:val="859"/>
          <w:rFonts w:hint="eastAsia" w:ascii="宋体" w:hAnsi="宋体" w:eastAsia="宋体" w:cs="宋体"/>
          <w:bCs/>
          <w:color w:val="000000" w:themeColor="text1"/>
          <w:sz w:val="24"/>
          <w:szCs w:val="24"/>
          <w:highlight w:val="none"/>
          <w:u w:val="none"/>
          <w14:textFill>
            <w14:solidFill>
              <w14:schemeClr w14:val="tx1"/>
            </w14:solidFill>
          </w14:textFill>
        </w:rPr>
        <w:instrText xml:space="preserve"> PAGEREF _Toc226126993 \h </w:instrText>
      </w:r>
      <w:r>
        <w:rPr>
          <w:rStyle w:val="859"/>
          <w:rFonts w:hint="eastAsia" w:ascii="宋体" w:hAnsi="宋体" w:eastAsia="宋体" w:cs="宋体"/>
          <w:bCs/>
          <w:color w:val="000000" w:themeColor="text1"/>
          <w:sz w:val="24"/>
          <w:szCs w:val="24"/>
          <w:highlight w:val="none"/>
          <w:u w:val="none"/>
          <w14:textFill>
            <w14:solidFill>
              <w14:schemeClr w14:val="tx1"/>
            </w14:solidFill>
          </w14:textFill>
        </w:rPr>
        <w:fldChar w:fldCharType="separate"/>
      </w:r>
      <w:r>
        <w:rPr>
          <w:rStyle w:val="859"/>
          <w:rFonts w:hint="eastAsia" w:ascii="宋体" w:hAnsi="宋体" w:eastAsia="宋体" w:cs="宋体"/>
          <w:bCs/>
          <w:color w:val="000000" w:themeColor="text1"/>
          <w:sz w:val="24"/>
          <w:szCs w:val="24"/>
          <w:highlight w:val="none"/>
          <w:u w:val="none"/>
          <w14:textFill>
            <w14:solidFill>
              <w14:schemeClr w14:val="tx1"/>
            </w14:solidFill>
          </w14:textFill>
        </w:rPr>
        <w:t xml:space="preserve">7</w:t>
      </w:r>
      <w:r>
        <w:rPr>
          <w:rStyle w:val="859"/>
          <w:rFonts w:hint="eastAsia" w:ascii="宋体" w:hAnsi="宋体" w:eastAsia="宋体" w:cs="宋体"/>
          <w:bCs/>
          <w:color w:val="000000" w:themeColor="text1"/>
          <w:sz w:val="24"/>
          <w:szCs w:val="24"/>
          <w:highlight w:val="none"/>
          <w:u w:val="none"/>
          <w14:textFill>
            <w14:solidFill>
              <w14:schemeClr w14:val="tx1"/>
            </w14:solidFill>
          </w14:textFill>
        </w:rPr>
        <w:fldChar w:fldCharType="end"/>
      </w:r>
      <w:r>
        <w:rPr>
          <w:rStyle w:val="859"/>
          <w:rFonts w:hint="eastAsia" w:ascii="宋体" w:hAnsi="宋体" w:eastAsia="宋体" w:cs="宋体"/>
          <w:bCs/>
          <w:color w:val="000000" w:themeColor="text1"/>
          <w:sz w:val="24"/>
          <w:szCs w:val="24"/>
          <w:highlight w:val="none"/>
          <w:u w:val="none"/>
          <w14:textFill>
            <w14:solidFill>
              <w14:schemeClr w14:val="tx1"/>
            </w14:solidFill>
          </w14:textFill>
        </w:rPr>
        <w:fldChar w:fldCharType="end"/>
      </w:r>
      <w:r/>
    </w:p>
    <w:p>
      <w:pPr>
        <w:pStyle w:val="690"/>
        <w:ind w:firstLine="480"/>
        <w:jc w:val="both"/>
        <w:spacing w:line="420" w:lineRule="auto"/>
        <w:rPr>
          <w:rStyle w:val="859"/>
          <w:rFonts w:ascii="宋体" w:hAnsi="宋体" w:eastAsia="宋体" w:cs="宋体"/>
          <w:color w:val="000000" w:themeColor="text1"/>
          <w:sz w:val="24"/>
          <w:szCs w:val="24"/>
          <w:highlight w:val="none"/>
          <w:u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"_Toc226126994" </w:instrText>
      </w:r>
      <w:r>
        <w:rPr>
          <w:color w:val="000000" w:themeColor="text1"/>
          <w:highlight w:val="none"/>
          <w14:textFill>
            <w14:solidFill>
              <w14:schemeClr w14:val="tx1"/>
            </w14:solidFill>
          </w14:textFill>
        </w:rPr>
        <w:fldChar w:fldCharType="separate"/>
      </w:r>
      <w:r>
        <w:rPr>
          <w:rStyle w:val="859"/>
          <w:rFonts w:hint="eastAsia" w:ascii="宋体" w:hAnsi="宋体" w:eastAsia="宋体" w:cs="宋体"/>
          <w:color w:val="000000" w:themeColor="text1"/>
          <w:sz w:val="24"/>
          <w:szCs w:val="24"/>
          <w:highlight w:val="none"/>
          <w:u w:val="none"/>
          <w14:textFill>
            <w14:solidFill>
              <w14:schemeClr w14:val="tx1"/>
            </w14:solidFill>
          </w14:textFill>
        </w:rPr>
        <w:t xml:space="preserve">一、总 则</w:t>
      </w:r>
      <w:r>
        <w:rPr>
          <w:rStyle w:val="859"/>
          <w:rFonts w:hint="eastAsia" w:ascii="宋体" w:hAnsi="宋体" w:eastAsia="宋体" w:cs="宋体"/>
          <w:color w:val="000000" w:themeColor="text1"/>
          <w:sz w:val="24"/>
          <w:szCs w:val="24"/>
          <w:highlight w:val="none"/>
          <w:u w:val="none"/>
          <w14:textFill>
            <w14:solidFill>
              <w14:schemeClr w14:val="tx1"/>
            </w14:solidFill>
          </w14:textFill>
        </w:rPr>
        <w:tab/>
      </w:r>
      <w:r>
        <w:rPr>
          <w:rStyle w:val="859"/>
          <w:rFonts w:hint="eastAsia" w:ascii="宋体" w:hAnsi="宋体" w:eastAsia="宋体" w:cs="宋体"/>
          <w:color w:val="000000" w:themeColor="text1"/>
          <w:sz w:val="24"/>
          <w:szCs w:val="24"/>
          <w:highlight w:val="none"/>
          <w:u w:val="none"/>
          <w14:textFill>
            <w14:solidFill>
              <w14:schemeClr w14:val="tx1"/>
            </w14:solidFill>
          </w14:textFill>
        </w:rPr>
        <w:fldChar w:fldCharType="begin"/>
      </w:r>
      <w:r>
        <w:rPr>
          <w:rStyle w:val="859"/>
          <w:rFonts w:hint="eastAsia" w:ascii="宋体" w:hAnsi="宋体" w:eastAsia="宋体" w:cs="宋体"/>
          <w:color w:val="000000" w:themeColor="text1"/>
          <w:sz w:val="24"/>
          <w:szCs w:val="24"/>
          <w:highlight w:val="none"/>
          <w:u w:val="none"/>
          <w14:textFill>
            <w14:solidFill>
              <w14:schemeClr w14:val="tx1"/>
            </w14:solidFill>
          </w14:textFill>
        </w:rPr>
        <w:instrText xml:space="preserve"> PAGEREF _Toc226126994 \h </w:instrText>
      </w:r>
      <w:r>
        <w:rPr>
          <w:rStyle w:val="859"/>
          <w:rFonts w:hint="eastAsia" w:ascii="宋体" w:hAnsi="宋体" w:eastAsia="宋体" w:cs="宋体"/>
          <w:color w:val="000000" w:themeColor="text1"/>
          <w:sz w:val="24"/>
          <w:szCs w:val="24"/>
          <w:highlight w:val="none"/>
          <w:u w:val="none"/>
          <w14:textFill>
            <w14:solidFill>
              <w14:schemeClr w14:val="tx1"/>
            </w14:solidFill>
          </w14:textFill>
        </w:rPr>
        <w:fldChar w:fldCharType="separate"/>
      </w:r>
      <w:r>
        <w:rPr>
          <w:rStyle w:val="859"/>
          <w:rFonts w:hint="eastAsia" w:ascii="宋体" w:hAnsi="宋体" w:eastAsia="宋体" w:cs="宋体"/>
          <w:color w:val="000000" w:themeColor="text1"/>
          <w:sz w:val="24"/>
          <w:szCs w:val="24"/>
          <w:highlight w:val="none"/>
          <w:u w:val="none"/>
          <w14:textFill>
            <w14:solidFill>
              <w14:schemeClr w14:val="tx1"/>
            </w14:solidFill>
          </w14:textFill>
        </w:rPr>
        <w:t xml:space="preserve">7</w:t>
      </w:r>
      <w:r>
        <w:rPr>
          <w:rStyle w:val="859"/>
          <w:rFonts w:hint="eastAsia" w:ascii="宋体" w:hAnsi="宋体" w:eastAsia="宋体" w:cs="宋体"/>
          <w:color w:val="000000" w:themeColor="text1"/>
          <w:sz w:val="24"/>
          <w:szCs w:val="24"/>
          <w:highlight w:val="none"/>
          <w:u w:val="none"/>
          <w14:textFill>
            <w14:solidFill>
              <w14:schemeClr w14:val="tx1"/>
            </w14:solidFill>
          </w14:textFill>
        </w:rPr>
        <w:fldChar w:fldCharType="end"/>
      </w:r>
      <w:r>
        <w:rPr>
          <w:rStyle w:val="859"/>
          <w:rFonts w:hint="eastAsia" w:ascii="宋体" w:hAnsi="宋体" w:eastAsia="宋体" w:cs="宋体"/>
          <w:color w:val="000000" w:themeColor="text1"/>
          <w:sz w:val="24"/>
          <w:szCs w:val="24"/>
          <w:highlight w:val="none"/>
          <w:u w:val="none"/>
          <w14:textFill>
            <w14:solidFill>
              <w14:schemeClr w14:val="tx1"/>
            </w14:solidFill>
          </w14:textFill>
        </w:rPr>
        <w:fldChar w:fldCharType="end"/>
      </w:r>
      <w:r/>
    </w:p>
    <w:p>
      <w:pPr>
        <w:pStyle w:val="690"/>
        <w:ind w:firstLine="480"/>
        <w:jc w:val="both"/>
        <w:spacing w:line="420" w:lineRule="auto"/>
        <w:rPr>
          <w:rStyle w:val="859"/>
          <w:rFonts w:ascii="宋体" w:hAnsi="宋体" w:eastAsia="宋体" w:cs="宋体"/>
          <w:color w:val="000000" w:themeColor="text1"/>
          <w:sz w:val="24"/>
          <w:szCs w:val="24"/>
          <w:highlight w:val="none"/>
          <w:u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"_Toc226126995" </w:instrText>
      </w:r>
      <w:r>
        <w:rPr>
          <w:color w:val="000000" w:themeColor="text1"/>
          <w:highlight w:val="none"/>
          <w14:textFill>
            <w14:solidFill>
              <w14:schemeClr w14:val="tx1"/>
            </w14:solidFill>
          </w14:textFill>
        </w:rPr>
        <w:fldChar w:fldCharType="separate"/>
      </w:r>
      <w:r>
        <w:rPr>
          <w:rStyle w:val="859"/>
          <w:rFonts w:hint="eastAsia" w:ascii="宋体" w:hAnsi="宋体" w:eastAsia="宋体" w:cs="宋体"/>
          <w:color w:val="000000" w:themeColor="text1"/>
          <w:sz w:val="24"/>
          <w:szCs w:val="24"/>
          <w:highlight w:val="none"/>
          <w:u w:val="none"/>
          <w14:textFill>
            <w14:solidFill>
              <w14:schemeClr w14:val="tx1"/>
            </w14:solidFill>
          </w14:textFill>
        </w:rPr>
        <w:t xml:space="preserve">二、招标文件</w:t>
      </w:r>
      <w:r>
        <w:rPr>
          <w:rStyle w:val="859"/>
          <w:rFonts w:hint="eastAsia" w:ascii="宋体" w:hAnsi="宋体" w:eastAsia="宋体" w:cs="宋体"/>
          <w:color w:val="000000" w:themeColor="text1"/>
          <w:sz w:val="24"/>
          <w:szCs w:val="24"/>
          <w:highlight w:val="none"/>
          <w:u w:val="none"/>
          <w14:textFill>
            <w14:solidFill>
              <w14:schemeClr w14:val="tx1"/>
            </w14:solidFill>
          </w14:textFill>
        </w:rPr>
        <w:tab/>
      </w:r>
      <w:bookmarkStart w:id="874" w:name="_GoBack"/>
      <w:r/>
      <w:bookmarkEnd w:id="874"/>
      <w:r>
        <w:rPr>
          <w:rStyle w:val="859"/>
          <w:rFonts w:hint="eastAsia" w:ascii="宋体" w:hAnsi="宋体" w:eastAsia="宋体" w:cs="宋体"/>
          <w:color w:val="000000" w:themeColor="text1"/>
          <w:sz w:val="24"/>
          <w:szCs w:val="24"/>
          <w:highlight w:val="none"/>
          <w:u w:val="none"/>
          <w14:textFill>
            <w14:solidFill>
              <w14:schemeClr w14:val="tx1"/>
            </w14:solidFill>
          </w14:textFill>
        </w:rPr>
        <w:fldChar w:fldCharType="begin"/>
      </w:r>
      <w:r>
        <w:rPr>
          <w:rStyle w:val="859"/>
          <w:rFonts w:hint="eastAsia" w:ascii="宋体" w:hAnsi="宋体" w:eastAsia="宋体" w:cs="宋体"/>
          <w:color w:val="000000" w:themeColor="text1"/>
          <w:sz w:val="24"/>
          <w:szCs w:val="24"/>
          <w:highlight w:val="none"/>
          <w:u w:val="none"/>
          <w14:textFill>
            <w14:solidFill>
              <w14:schemeClr w14:val="tx1"/>
            </w14:solidFill>
          </w14:textFill>
        </w:rPr>
        <w:instrText xml:space="preserve"> PAGEREF _Toc226126995 \h </w:instrText>
      </w:r>
      <w:r>
        <w:rPr>
          <w:rStyle w:val="859"/>
          <w:rFonts w:hint="eastAsia" w:ascii="宋体" w:hAnsi="宋体" w:eastAsia="宋体" w:cs="宋体"/>
          <w:color w:val="000000" w:themeColor="text1"/>
          <w:sz w:val="24"/>
          <w:szCs w:val="24"/>
          <w:highlight w:val="none"/>
          <w:u w:val="none"/>
          <w14:textFill>
            <w14:solidFill>
              <w14:schemeClr w14:val="tx1"/>
            </w14:solidFill>
          </w14:textFill>
        </w:rPr>
        <w:fldChar w:fldCharType="separate"/>
      </w:r>
      <w:r>
        <w:rPr>
          <w:rStyle w:val="859"/>
          <w:rFonts w:hint="eastAsia" w:ascii="宋体" w:hAnsi="宋体" w:eastAsia="宋体" w:cs="宋体"/>
          <w:color w:val="000000" w:themeColor="text1"/>
          <w:sz w:val="24"/>
          <w:szCs w:val="24"/>
          <w:highlight w:val="none"/>
          <w:u w:val="none"/>
          <w14:textFill>
            <w14:solidFill>
              <w14:schemeClr w14:val="tx1"/>
            </w14:solidFill>
          </w14:textFill>
        </w:rPr>
        <w:t xml:space="preserve">7</w:t>
      </w:r>
      <w:r>
        <w:rPr>
          <w:rStyle w:val="859"/>
          <w:rFonts w:hint="eastAsia" w:ascii="宋体" w:hAnsi="宋体" w:eastAsia="宋体" w:cs="宋体"/>
          <w:color w:val="000000" w:themeColor="text1"/>
          <w:sz w:val="24"/>
          <w:szCs w:val="24"/>
          <w:highlight w:val="none"/>
          <w:u w:val="none"/>
          <w14:textFill>
            <w14:solidFill>
              <w14:schemeClr w14:val="tx1"/>
            </w14:solidFill>
          </w14:textFill>
        </w:rPr>
        <w:fldChar w:fldCharType="end"/>
      </w:r>
      <w:r>
        <w:rPr>
          <w:rStyle w:val="859"/>
          <w:rFonts w:hint="eastAsia" w:ascii="宋体" w:hAnsi="宋体" w:eastAsia="宋体" w:cs="宋体"/>
          <w:color w:val="000000" w:themeColor="text1"/>
          <w:sz w:val="24"/>
          <w:szCs w:val="24"/>
          <w:highlight w:val="none"/>
          <w:u w:val="none"/>
          <w14:textFill>
            <w14:solidFill>
              <w14:schemeClr w14:val="tx1"/>
            </w14:solidFill>
          </w14:textFill>
        </w:rPr>
        <w:fldChar w:fldCharType="end"/>
      </w:r>
      <w:r/>
    </w:p>
    <w:p>
      <w:pPr>
        <w:pStyle w:val="690"/>
        <w:ind w:firstLine="480"/>
        <w:jc w:val="both"/>
        <w:spacing w:line="420" w:lineRule="auto"/>
        <w:rPr>
          <w:rStyle w:val="859"/>
          <w:rFonts w:ascii="宋体" w:hAnsi="宋体" w:eastAsia="宋体" w:cs="宋体"/>
          <w:color w:val="000000" w:themeColor="text1"/>
          <w:sz w:val="24"/>
          <w:szCs w:val="24"/>
          <w:highlight w:val="none"/>
          <w:u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"_Toc226126996" </w:instrText>
      </w:r>
      <w:r>
        <w:rPr>
          <w:color w:val="000000" w:themeColor="text1"/>
          <w:highlight w:val="none"/>
          <w14:textFill>
            <w14:solidFill>
              <w14:schemeClr w14:val="tx1"/>
            </w14:solidFill>
          </w14:textFill>
        </w:rPr>
        <w:fldChar w:fldCharType="separate"/>
      </w:r>
      <w:r>
        <w:rPr>
          <w:rStyle w:val="859"/>
          <w:rFonts w:hint="eastAsia" w:ascii="宋体" w:hAnsi="宋体" w:eastAsia="宋体" w:cs="宋体"/>
          <w:color w:val="000000" w:themeColor="text1"/>
          <w:sz w:val="24"/>
          <w:szCs w:val="24"/>
          <w:highlight w:val="none"/>
          <w:u w:val="none"/>
          <w14:textFill>
            <w14:solidFill>
              <w14:schemeClr w14:val="tx1"/>
            </w14:solidFill>
          </w14:textFill>
        </w:rPr>
        <w:t xml:space="preserve">三、投标文件的编制</w:t>
      </w:r>
      <w:r>
        <w:rPr>
          <w:rStyle w:val="859"/>
          <w:rFonts w:hint="eastAsia" w:ascii="宋体" w:hAnsi="宋体" w:eastAsia="宋体" w:cs="宋体"/>
          <w:color w:val="000000" w:themeColor="text1"/>
          <w:sz w:val="24"/>
          <w:szCs w:val="24"/>
          <w:highlight w:val="none"/>
          <w:u w:val="none"/>
          <w14:textFill>
            <w14:solidFill>
              <w14:schemeClr w14:val="tx1"/>
            </w14:solidFill>
          </w14:textFill>
        </w:rPr>
        <w:tab/>
      </w:r>
      <w:r>
        <w:rPr>
          <w:rStyle w:val="859"/>
          <w:rFonts w:hint="eastAsia" w:ascii="宋体" w:hAnsi="宋体" w:eastAsia="宋体" w:cs="宋体"/>
          <w:color w:val="000000" w:themeColor="text1"/>
          <w:sz w:val="24"/>
          <w:szCs w:val="24"/>
          <w:highlight w:val="none"/>
          <w:u w:val="none"/>
          <w14:textFill>
            <w14:solidFill>
              <w14:schemeClr w14:val="tx1"/>
            </w14:solidFill>
          </w14:textFill>
        </w:rPr>
        <w:fldChar w:fldCharType="begin"/>
      </w:r>
      <w:r>
        <w:rPr>
          <w:rStyle w:val="859"/>
          <w:rFonts w:hint="eastAsia" w:ascii="宋体" w:hAnsi="宋体" w:eastAsia="宋体" w:cs="宋体"/>
          <w:color w:val="000000" w:themeColor="text1"/>
          <w:sz w:val="24"/>
          <w:szCs w:val="24"/>
          <w:highlight w:val="none"/>
          <w:u w:val="none"/>
          <w14:textFill>
            <w14:solidFill>
              <w14:schemeClr w14:val="tx1"/>
            </w14:solidFill>
          </w14:textFill>
        </w:rPr>
        <w:instrText xml:space="preserve"> PAGEREF _Toc226126996 \h </w:instrText>
      </w:r>
      <w:r>
        <w:rPr>
          <w:rStyle w:val="859"/>
          <w:rFonts w:hint="eastAsia" w:ascii="宋体" w:hAnsi="宋体" w:eastAsia="宋体" w:cs="宋体"/>
          <w:color w:val="000000" w:themeColor="text1"/>
          <w:sz w:val="24"/>
          <w:szCs w:val="24"/>
          <w:highlight w:val="none"/>
          <w:u w:val="none"/>
          <w14:textFill>
            <w14:solidFill>
              <w14:schemeClr w14:val="tx1"/>
            </w14:solidFill>
          </w14:textFill>
        </w:rPr>
        <w:fldChar w:fldCharType="separate"/>
      </w:r>
      <w:r>
        <w:rPr>
          <w:rStyle w:val="859"/>
          <w:rFonts w:hint="eastAsia" w:ascii="宋体" w:hAnsi="宋体" w:eastAsia="宋体" w:cs="宋体"/>
          <w:color w:val="000000" w:themeColor="text1"/>
          <w:sz w:val="24"/>
          <w:szCs w:val="24"/>
          <w:highlight w:val="none"/>
          <w:u w:val="none"/>
          <w14:textFill>
            <w14:solidFill>
              <w14:schemeClr w14:val="tx1"/>
            </w14:solidFill>
          </w14:textFill>
        </w:rPr>
        <w:t xml:space="preserve">8</w:t>
      </w:r>
      <w:r>
        <w:rPr>
          <w:rStyle w:val="859"/>
          <w:rFonts w:hint="eastAsia" w:ascii="宋体" w:hAnsi="宋体" w:eastAsia="宋体" w:cs="宋体"/>
          <w:color w:val="000000" w:themeColor="text1"/>
          <w:sz w:val="24"/>
          <w:szCs w:val="24"/>
          <w:highlight w:val="none"/>
          <w:u w:val="none"/>
          <w14:textFill>
            <w14:solidFill>
              <w14:schemeClr w14:val="tx1"/>
            </w14:solidFill>
          </w14:textFill>
        </w:rPr>
        <w:fldChar w:fldCharType="end"/>
      </w:r>
      <w:r>
        <w:rPr>
          <w:rStyle w:val="859"/>
          <w:rFonts w:hint="eastAsia" w:ascii="宋体" w:hAnsi="宋体" w:eastAsia="宋体" w:cs="宋体"/>
          <w:color w:val="000000" w:themeColor="text1"/>
          <w:sz w:val="24"/>
          <w:szCs w:val="24"/>
          <w:highlight w:val="none"/>
          <w:u w:val="none"/>
          <w14:textFill>
            <w14:solidFill>
              <w14:schemeClr w14:val="tx1"/>
            </w14:solidFill>
          </w14:textFill>
        </w:rPr>
        <w:fldChar w:fldCharType="end"/>
      </w:r>
      <w:r/>
    </w:p>
    <w:p>
      <w:pPr>
        <w:pStyle w:val="690"/>
        <w:ind w:firstLine="480"/>
        <w:jc w:val="both"/>
        <w:spacing w:line="420" w:lineRule="auto"/>
        <w:rPr>
          <w:rStyle w:val="859"/>
          <w:rFonts w:ascii="宋体" w:hAnsi="宋体" w:eastAsia="宋体" w:cs="宋体"/>
          <w:color w:val="000000" w:themeColor="text1"/>
          <w:sz w:val="24"/>
          <w:szCs w:val="24"/>
          <w:highlight w:val="none"/>
          <w:u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"_Toc226126997" </w:instrText>
      </w:r>
      <w:r>
        <w:rPr>
          <w:color w:val="000000" w:themeColor="text1"/>
          <w:highlight w:val="none"/>
          <w14:textFill>
            <w14:solidFill>
              <w14:schemeClr w14:val="tx1"/>
            </w14:solidFill>
          </w14:textFill>
        </w:rPr>
        <w:fldChar w:fldCharType="separate"/>
      </w:r>
      <w:r>
        <w:rPr>
          <w:rStyle w:val="859"/>
          <w:rFonts w:hint="eastAsia" w:ascii="宋体" w:hAnsi="宋体" w:eastAsia="宋体" w:cs="宋体"/>
          <w:color w:val="000000" w:themeColor="text1"/>
          <w:sz w:val="24"/>
          <w:szCs w:val="24"/>
          <w:highlight w:val="none"/>
          <w:u w:val="none"/>
          <w14:textFill>
            <w14:solidFill>
              <w14:schemeClr w14:val="tx1"/>
            </w14:solidFill>
          </w14:textFill>
        </w:rPr>
        <w:t xml:space="preserve">四、投标文件的递交</w:t>
      </w:r>
      <w:r>
        <w:rPr>
          <w:rStyle w:val="859"/>
          <w:rFonts w:hint="eastAsia" w:ascii="宋体" w:hAnsi="宋体" w:eastAsia="宋体" w:cs="宋体"/>
          <w:color w:val="000000" w:themeColor="text1"/>
          <w:sz w:val="24"/>
          <w:szCs w:val="24"/>
          <w:highlight w:val="none"/>
          <w:u w:val="none"/>
          <w14:textFill>
            <w14:solidFill>
              <w14:schemeClr w14:val="tx1"/>
            </w14:solidFill>
          </w14:textFill>
        </w:rPr>
        <w:tab/>
      </w:r>
      <w:r>
        <w:rPr>
          <w:rStyle w:val="859"/>
          <w:rFonts w:hint="eastAsia" w:ascii="宋体" w:hAnsi="宋体" w:eastAsia="宋体" w:cs="宋体"/>
          <w:color w:val="000000" w:themeColor="text1"/>
          <w:sz w:val="24"/>
          <w:szCs w:val="24"/>
          <w:highlight w:val="none"/>
          <w:u w:val="none"/>
          <w14:textFill>
            <w14:solidFill>
              <w14:schemeClr w14:val="tx1"/>
            </w14:solidFill>
          </w14:textFill>
        </w:rPr>
        <w:fldChar w:fldCharType="begin"/>
      </w:r>
      <w:r>
        <w:rPr>
          <w:rStyle w:val="859"/>
          <w:rFonts w:hint="eastAsia" w:ascii="宋体" w:hAnsi="宋体" w:eastAsia="宋体" w:cs="宋体"/>
          <w:color w:val="000000" w:themeColor="text1"/>
          <w:sz w:val="24"/>
          <w:szCs w:val="24"/>
          <w:highlight w:val="none"/>
          <w:u w:val="none"/>
          <w14:textFill>
            <w14:solidFill>
              <w14:schemeClr w14:val="tx1"/>
            </w14:solidFill>
          </w14:textFill>
        </w:rPr>
        <w:instrText xml:space="preserve"> PAGEREF _Toc226126997 \h </w:instrText>
      </w:r>
      <w:r>
        <w:rPr>
          <w:rStyle w:val="859"/>
          <w:rFonts w:hint="eastAsia" w:ascii="宋体" w:hAnsi="宋体" w:eastAsia="宋体" w:cs="宋体"/>
          <w:color w:val="000000" w:themeColor="text1"/>
          <w:sz w:val="24"/>
          <w:szCs w:val="24"/>
          <w:highlight w:val="none"/>
          <w:u w:val="none"/>
          <w14:textFill>
            <w14:solidFill>
              <w14:schemeClr w14:val="tx1"/>
            </w14:solidFill>
          </w14:textFill>
        </w:rPr>
        <w:fldChar w:fldCharType="separate"/>
      </w:r>
      <w:r>
        <w:rPr>
          <w:rStyle w:val="859"/>
          <w:rFonts w:hint="eastAsia" w:ascii="宋体" w:hAnsi="宋体" w:eastAsia="宋体" w:cs="宋体"/>
          <w:color w:val="000000" w:themeColor="text1"/>
          <w:sz w:val="24"/>
          <w:szCs w:val="24"/>
          <w:highlight w:val="none"/>
          <w:u w:val="none"/>
          <w14:textFill>
            <w14:solidFill>
              <w14:schemeClr w14:val="tx1"/>
            </w14:solidFill>
          </w14:textFill>
        </w:rPr>
        <w:t xml:space="preserve">9</w:t>
      </w:r>
      <w:r>
        <w:rPr>
          <w:rStyle w:val="859"/>
          <w:rFonts w:hint="eastAsia" w:ascii="宋体" w:hAnsi="宋体" w:eastAsia="宋体" w:cs="宋体"/>
          <w:color w:val="000000" w:themeColor="text1"/>
          <w:sz w:val="24"/>
          <w:szCs w:val="24"/>
          <w:highlight w:val="none"/>
          <w:u w:val="none"/>
          <w14:textFill>
            <w14:solidFill>
              <w14:schemeClr w14:val="tx1"/>
            </w14:solidFill>
          </w14:textFill>
        </w:rPr>
        <w:fldChar w:fldCharType="end"/>
      </w:r>
      <w:r>
        <w:rPr>
          <w:rStyle w:val="859"/>
          <w:rFonts w:hint="eastAsia" w:ascii="宋体" w:hAnsi="宋体" w:eastAsia="宋体" w:cs="宋体"/>
          <w:color w:val="000000" w:themeColor="text1"/>
          <w:sz w:val="24"/>
          <w:szCs w:val="24"/>
          <w:highlight w:val="none"/>
          <w:u w:val="none"/>
          <w14:textFill>
            <w14:solidFill>
              <w14:schemeClr w14:val="tx1"/>
            </w14:solidFill>
          </w14:textFill>
        </w:rPr>
        <w:fldChar w:fldCharType="end"/>
      </w:r>
      <w:r/>
    </w:p>
    <w:p>
      <w:pPr>
        <w:pStyle w:val="690"/>
        <w:ind w:firstLine="480"/>
        <w:jc w:val="both"/>
        <w:spacing w:line="420" w:lineRule="auto"/>
        <w:rPr>
          <w:rStyle w:val="859"/>
          <w:rFonts w:ascii="宋体" w:hAnsi="宋体" w:eastAsia="宋体" w:cs="宋体"/>
          <w:color w:val="000000" w:themeColor="text1"/>
          <w:sz w:val="24"/>
          <w:szCs w:val="24"/>
          <w:highlight w:val="none"/>
          <w:u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"_Toc226126998" </w:instrText>
      </w:r>
      <w:r>
        <w:rPr>
          <w:color w:val="000000" w:themeColor="text1"/>
          <w:highlight w:val="none"/>
          <w14:textFill>
            <w14:solidFill>
              <w14:schemeClr w14:val="tx1"/>
            </w14:solidFill>
          </w14:textFill>
        </w:rPr>
        <w:fldChar w:fldCharType="separate"/>
      </w:r>
      <w:r>
        <w:rPr>
          <w:rStyle w:val="859"/>
          <w:rFonts w:hint="eastAsia" w:ascii="宋体" w:hAnsi="宋体" w:eastAsia="宋体" w:cs="宋体"/>
          <w:color w:val="000000" w:themeColor="text1"/>
          <w:sz w:val="24"/>
          <w:szCs w:val="24"/>
          <w:highlight w:val="none"/>
          <w:u w:val="none"/>
          <w14:textFill>
            <w14:solidFill>
              <w14:schemeClr w14:val="tx1"/>
            </w14:solidFill>
          </w14:textFill>
        </w:rPr>
        <w:t xml:space="preserve">五、开标与评标</w:t>
      </w:r>
      <w:r>
        <w:rPr>
          <w:rStyle w:val="859"/>
          <w:rFonts w:hint="eastAsia" w:ascii="宋体" w:hAnsi="宋体" w:eastAsia="宋体" w:cs="宋体"/>
          <w:color w:val="000000" w:themeColor="text1"/>
          <w:sz w:val="24"/>
          <w:szCs w:val="24"/>
          <w:highlight w:val="none"/>
          <w:u w:val="none"/>
          <w14:textFill>
            <w14:solidFill>
              <w14:schemeClr w14:val="tx1"/>
            </w14:solidFill>
          </w14:textFill>
        </w:rPr>
        <w:tab/>
      </w:r>
      <w:r>
        <w:rPr>
          <w:rStyle w:val="859"/>
          <w:rFonts w:hint="eastAsia" w:ascii="宋体" w:hAnsi="宋体" w:eastAsia="宋体" w:cs="宋体"/>
          <w:color w:val="000000" w:themeColor="text1"/>
          <w:sz w:val="24"/>
          <w:szCs w:val="24"/>
          <w:highlight w:val="none"/>
          <w:u w:val="none"/>
          <w14:textFill>
            <w14:solidFill>
              <w14:schemeClr w14:val="tx1"/>
            </w14:solidFill>
          </w14:textFill>
        </w:rPr>
        <w:fldChar w:fldCharType="begin"/>
      </w:r>
      <w:r>
        <w:rPr>
          <w:rStyle w:val="859"/>
          <w:rFonts w:hint="eastAsia" w:ascii="宋体" w:hAnsi="宋体" w:eastAsia="宋体" w:cs="宋体"/>
          <w:color w:val="000000" w:themeColor="text1"/>
          <w:sz w:val="24"/>
          <w:szCs w:val="24"/>
          <w:highlight w:val="none"/>
          <w:u w:val="none"/>
          <w14:textFill>
            <w14:solidFill>
              <w14:schemeClr w14:val="tx1"/>
            </w14:solidFill>
          </w14:textFill>
        </w:rPr>
        <w:instrText xml:space="preserve"> PAGEREF _Toc226126998 \h </w:instrText>
      </w:r>
      <w:r>
        <w:rPr>
          <w:rStyle w:val="859"/>
          <w:rFonts w:hint="eastAsia" w:ascii="宋体" w:hAnsi="宋体" w:eastAsia="宋体" w:cs="宋体"/>
          <w:color w:val="000000" w:themeColor="text1"/>
          <w:sz w:val="24"/>
          <w:szCs w:val="24"/>
          <w:highlight w:val="none"/>
          <w:u w:val="none"/>
          <w14:textFill>
            <w14:solidFill>
              <w14:schemeClr w14:val="tx1"/>
            </w14:solidFill>
          </w14:textFill>
        </w:rPr>
        <w:fldChar w:fldCharType="separate"/>
      </w:r>
      <w:r>
        <w:rPr>
          <w:rStyle w:val="859"/>
          <w:rFonts w:hint="eastAsia" w:ascii="宋体" w:hAnsi="宋体" w:eastAsia="宋体" w:cs="宋体"/>
          <w:color w:val="000000" w:themeColor="text1"/>
          <w:sz w:val="24"/>
          <w:szCs w:val="24"/>
          <w:highlight w:val="none"/>
          <w:u w:val="none"/>
          <w14:textFill>
            <w14:solidFill>
              <w14:schemeClr w14:val="tx1"/>
            </w14:solidFill>
          </w14:textFill>
        </w:rPr>
        <w:t xml:space="preserve">10</w:t>
      </w:r>
      <w:r>
        <w:rPr>
          <w:rStyle w:val="859"/>
          <w:rFonts w:hint="eastAsia" w:ascii="宋体" w:hAnsi="宋体" w:eastAsia="宋体" w:cs="宋体"/>
          <w:color w:val="000000" w:themeColor="text1"/>
          <w:sz w:val="24"/>
          <w:szCs w:val="24"/>
          <w:highlight w:val="none"/>
          <w:u w:val="none"/>
          <w14:textFill>
            <w14:solidFill>
              <w14:schemeClr w14:val="tx1"/>
            </w14:solidFill>
          </w14:textFill>
        </w:rPr>
        <w:fldChar w:fldCharType="end"/>
      </w:r>
      <w:r>
        <w:rPr>
          <w:rStyle w:val="859"/>
          <w:rFonts w:hint="eastAsia" w:ascii="宋体" w:hAnsi="宋体" w:eastAsia="宋体" w:cs="宋体"/>
          <w:color w:val="000000" w:themeColor="text1"/>
          <w:sz w:val="24"/>
          <w:szCs w:val="24"/>
          <w:highlight w:val="none"/>
          <w:u w:val="none"/>
          <w14:textFill>
            <w14:solidFill>
              <w14:schemeClr w14:val="tx1"/>
            </w14:solidFill>
          </w14:textFill>
        </w:rPr>
        <w:fldChar w:fldCharType="end"/>
      </w:r>
      <w:r/>
    </w:p>
    <w:p>
      <w:pPr>
        <w:pStyle w:val="690"/>
        <w:ind w:firstLine="480"/>
        <w:jc w:val="both"/>
        <w:spacing w:line="420" w:lineRule="auto"/>
        <w:rPr>
          <w:rStyle w:val="859"/>
          <w:rFonts w:ascii="宋体" w:hAnsi="宋体" w:eastAsia="宋体" w:cs="宋体"/>
          <w:color w:val="000000" w:themeColor="text1"/>
          <w:sz w:val="24"/>
          <w:szCs w:val="24"/>
          <w:highlight w:val="none"/>
          <w:u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"_Toc226126999" </w:instrText>
      </w:r>
      <w:r>
        <w:rPr>
          <w:color w:val="000000" w:themeColor="text1"/>
          <w:highlight w:val="none"/>
          <w14:textFill>
            <w14:solidFill>
              <w14:schemeClr w14:val="tx1"/>
            </w14:solidFill>
          </w14:textFill>
        </w:rPr>
        <w:fldChar w:fldCharType="separate"/>
      </w:r>
      <w:r>
        <w:rPr>
          <w:rStyle w:val="859"/>
          <w:rFonts w:hint="eastAsia" w:ascii="宋体" w:hAnsi="宋体" w:eastAsia="宋体" w:cs="宋体"/>
          <w:color w:val="000000" w:themeColor="text1"/>
          <w:sz w:val="24"/>
          <w:szCs w:val="24"/>
          <w:highlight w:val="none"/>
          <w:u w:val="none"/>
          <w14:textFill>
            <w14:solidFill>
              <w14:schemeClr w14:val="tx1"/>
            </w14:solidFill>
          </w14:textFill>
        </w:rPr>
        <w:t xml:space="preserve">六、定标</w:t>
      </w:r>
      <w:r>
        <w:rPr>
          <w:rStyle w:val="859"/>
          <w:rFonts w:hint="eastAsia" w:ascii="宋体" w:hAnsi="宋体" w:eastAsia="宋体" w:cs="宋体"/>
          <w:color w:val="000000" w:themeColor="text1"/>
          <w:sz w:val="24"/>
          <w:szCs w:val="24"/>
          <w:highlight w:val="none"/>
          <w:u w:val="none"/>
          <w14:textFill>
            <w14:solidFill>
              <w14:schemeClr w14:val="tx1"/>
            </w14:solidFill>
          </w14:textFill>
        </w:rPr>
        <w:tab/>
      </w:r>
      <w:r>
        <w:rPr>
          <w:rStyle w:val="859"/>
          <w:rFonts w:hint="eastAsia" w:ascii="宋体" w:hAnsi="宋体" w:eastAsia="宋体" w:cs="宋体"/>
          <w:color w:val="000000" w:themeColor="text1"/>
          <w:sz w:val="24"/>
          <w:szCs w:val="24"/>
          <w:highlight w:val="none"/>
          <w:u w:val="none"/>
          <w14:textFill>
            <w14:solidFill>
              <w14:schemeClr w14:val="tx1"/>
            </w14:solidFill>
          </w14:textFill>
        </w:rPr>
        <w:fldChar w:fldCharType="begin"/>
      </w:r>
      <w:r>
        <w:rPr>
          <w:rStyle w:val="859"/>
          <w:rFonts w:hint="eastAsia" w:ascii="宋体" w:hAnsi="宋体" w:eastAsia="宋体" w:cs="宋体"/>
          <w:color w:val="000000" w:themeColor="text1"/>
          <w:sz w:val="24"/>
          <w:szCs w:val="24"/>
          <w:highlight w:val="none"/>
          <w:u w:val="none"/>
          <w14:textFill>
            <w14:solidFill>
              <w14:schemeClr w14:val="tx1"/>
            </w14:solidFill>
          </w14:textFill>
        </w:rPr>
        <w:instrText xml:space="preserve"> PAGEREF _Toc226126999 \h </w:instrText>
      </w:r>
      <w:r>
        <w:rPr>
          <w:rStyle w:val="859"/>
          <w:rFonts w:hint="eastAsia" w:ascii="宋体" w:hAnsi="宋体" w:eastAsia="宋体" w:cs="宋体"/>
          <w:color w:val="000000" w:themeColor="text1"/>
          <w:sz w:val="24"/>
          <w:szCs w:val="24"/>
          <w:highlight w:val="none"/>
          <w:u w:val="none"/>
          <w14:textFill>
            <w14:solidFill>
              <w14:schemeClr w14:val="tx1"/>
            </w14:solidFill>
          </w14:textFill>
        </w:rPr>
        <w:fldChar w:fldCharType="separate"/>
      </w:r>
      <w:r>
        <w:rPr>
          <w:rStyle w:val="859"/>
          <w:rFonts w:hint="eastAsia" w:ascii="宋体" w:hAnsi="宋体" w:eastAsia="宋体" w:cs="宋体"/>
          <w:color w:val="000000" w:themeColor="text1"/>
          <w:sz w:val="24"/>
          <w:szCs w:val="24"/>
          <w:highlight w:val="none"/>
          <w:u w:val="none"/>
          <w14:textFill>
            <w14:solidFill>
              <w14:schemeClr w14:val="tx1"/>
            </w14:solidFill>
          </w14:textFill>
        </w:rPr>
        <w:t xml:space="preserve">14</w:t>
      </w:r>
      <w:r>
        <w:rPr>
          <w:rStyle w:val="859"/>
          <w:rFonts w:hint="eastAsia" w:ascii="宋体" w:hAnsi="宋体" w:eastAsia="宋体" w:cs="宋体"/>
          <w:color w:val="000000" w:themeColor="text1"/>
          <w:sz w:val="24"/>
          <w:szCs w:val="24"/>
          <w:highlight w:val="none"/>
          <w:u w:val="none"/>
          <w14:textFill>
            <w14:solidFill>
              <w14:schemeClr w14:val="tx1"/>
            </w14:solidFill>
          </w14:textFill>
        </w:rPr>
        <w:fldChar w:fldCharType="end"/>
      </w:r>
      <w:r>
        <w:rPr>
          <w:rStyle w:val="859"/>
          <w:rFonts w:hint="eastAsia" w:ascii="宋体" w:hAnsi="宋体" w:eastAsia="宋体" w:cs="宋体"/>
          <w:color w:val="000000" w:themeColor="text1"/>
          <w:sz w:val="24"/>
          <w:szCs w:val="24"/>
          <w:highlight w:val="none"/>
          <w:u w:val="none"/>
          <w14:textFill>
            <w14:solidFill>
              <w14:schemeClr w14:val="tx1"/>
            </w14:solidFill>
          </w14:textFill>
        </w:rPr>
        <w:fldChar w:fldCharType="end"/>
      </w:r>
      <w:r/>
    </w:p>
    <w:p>
      <w:pPr>
        <w:pStyle w:val="690"/>
        <w:ind w:firstLine="480"/>
        <w:jc w:val="both"/>
        <w:spacing w:line="420" w:lineRule="auto"/>
        <w:rPr>
          <w:rStyle w:val="859"/>
          <w:rFonts w:ascii="宋体" w:hAnsi="宋体" w:eastAsia="宋体" w:cs="宋体"/>
          <w:color w:val="000000" w:themeColor="text1"/>
          <w:sz w:val="24"/>
          <w:szCs w:val="24"/>
          <w:highlight w:val="none"/>
          <w:u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"_Toc226127000" </w:instrText>
      </w:r>
      <w:r>
        <w:rPr>
          <w:color w:val="000000" w:themeColor="text1"/>
          <w:highlight w:val="none"/>
          <w14:textFill>
            <w14:solidFill>
              <w14:schemeClr w14:val="tx1"/>
            </w14:solidFill>
          </w14:textFill>
        </w:rPr>
        <w:fldChar w:fldCharType="separate"/>
      </w:r>
      <w:r>
        <w:rPr>
          <w:rStyle w:val="859"/>
          <w:rFonts w:hint="eastAsia" w:ascii="宋体" w:hAnsi="宋体" w:eastAsia="宋体" w:cs="宋体"/>
          <w:color w:val="000000" w:themeColor="text1"/>
          <w:sz w:val="24"/>
          <w:szCs w:val="24"/>
          <w:highlight w:val="none"/>
          <w:u w:val="none"/>
          <w14:textFill>
            <w14:solidFill>
              <w14:schemeClr w14:val="tx1"/>
            </w14:solidFill>
          </w14:textFill>
        </w:rPr>
        <w:t xml:space="preserve">七、授予合同</w:t>
      </w:r>
      <w:r>
        <w:rPr>
          <w:rStyle w:val="859"/>
          <w:rFonts w:hint="eastAsia" w:ascii="宋体" w:hAnsi="宋体" w:eastAsia="宋体" w:cs="宋体"/>
          <w:color w:val="000000" w:themeColor="text1"/>
          <w:sz w:val="24"/>
          <w:szCs w:val="24"/>
          <w:highlight w:val="none"/>
          <w:u w:val="none"/>
          <w14:textFill>
            <w14:solidFill>
              <w14:schemeClr w14:val="tx1"/>
            </w14:solidFill>
          </w14:textFill>
        </w:rPr>
        <w:tab/>
      </w:r>
      <w:r>
        <w:rPr>
          <w:rStyle w:val="859"/>
          <w:rFonts w:hint="eastAsia" w:ascii="宋体" w:hAnsi="宋体" w:eastAsia="宋体" w:cs="宋体"/>
          <w:color w:val="000000" w:themeColor="text1"/>
          <w:sz w:val="24"/>
          <w:szCs w:val="24"/>
          <w:highlight w:val="none"/>
          <w:u w:val="none"/>
          <w14:textFill>
            <w14:solidFill>
              <w14:schemeClr w14:val="tx1"/>
            </w14:solidFill>
          </w14:textFill>
        </w:rPr>
        <w:fldChar w:fldCharType="begin"/>
      </w:r>
      <w:r>
        <w:rPr>
          <w:rStyle w:val="859"/>
          <w:rFonts w:hint="eastAsia" w:ascii="宋体" w:hAnsi="宋体" w:eastAsia="宋体" w:cs="宋体"/>
          <w:color w:val="000000" w:themeColor="text1"/>
          <w:sz w:val="24"/>
          <w:szCs w:val="24"/>
          <w:highlight w:val="none"/>
          <w:u w:val="none"/>
          <w14:textFill>
            <w14:solidFill>
              <w14:schemeClr w14:val="tx1"/>
            </w14:solidFill>
          </w14:textFill>
        </w:rPr>
        <w:instrText xml:space="preserve"> PAGEREF _Toc226127000 \h </w:instrText>
      </w:r>
      <w:r>
        <w:rPr>
          <w:rStyle w:val="859"/>
          <w:rFonts w:hint="eastAsia" w:ascii="宋体" w:hAnsi="宋体" w:eastAsia="宋体" w:cs="宋体"/>
          <w:color w:val="000000" w:themeColor="text1"/>
          <w:sz w:val="24"/>
          <w:szCs w:val="24"/>
          <w:highlight w:val="none"/>
          <w:u w:val="none"/>
          <w14:textFill>
            <w14:solidFill>
              <w14:schemeClr w14:val="tx1"/>
            </w14:solidFill>
          </w14:textFill>
        </w:rPr>
        <w:fldChar w:fldCharType="separate"/>
      </w:r>
      <w:r>
        <w:rPr>
          <w:rStyle w:val="859"/>
          <w:rFonts w:hint="eastAsia" w:ascii="宋体" w:hAnsi="宋体" w:eastAsia="宋体" w:cs="宋体"/>
          <w:color w:val="000000" w:themeColor="text1"/>
          <w:sz w:val="24"/>
          <w:szCs w:val="24"/>
          <w:highlight w:val="none"/>
          <w:u w:val="none"/>
          <w14:textFill>
            <w14:solidFill>
              <w14:schemeClr w14:val="tx1"/>
            </w14:solidFill>
          </w14:textFill>
        </w:rPr>
        <w:t xml:space="preserve">16</w:t>
      </w:r>
      <w:r>
        <w:rPr>
          <w:rStyle w:val="859"/>
          <w:rFonts w:hint="eastAsia" w:ascii="宋体" w:hAnsi="宋体" w:eastAsia="宋体" w:cs="宋体"/>
          <w:color w:val="000000" w:themeColor="text1"/>
          <w:sz w:val="24"/>
          <w:szCs w:val="24"/>
          <w:highlight w:val="none"/>
          <w:u w:val="none"/>
          <w14:textFill>
            <w14:solidFill>
              <w14:schemeClr w14:val="tx1"/>
            </w14:solidFill>
          </w14:textFill>
        </w:rPr>
        <w:fldChar w:fldCharType="end"/>
      </w:r>
      <w:r>
        <w:rPr>
          <w:rStyle w:val="859"/>
          <w:rFonts w:hint="eastAsia" w:ascii="宋体" w:hAnsi="宋体" w:eastAsia="宋体" w:cs="宋体"/>
          <w:color w:val="000000" w:themeColor="text1"/>
          <w:sz w:val="24"/>
          <w:szCs w:val="24"/>
          <w:highlight w:val="none"/>
          <w:u w:val="none"/>
          <w14:textFill>
            <w14:solidFill>
              <w14:schemeClr w14:val="tx1"/>
            </w14:solidFill>
          </w14:textFill>
        </w:rPr>
        <w:fldChar w:fldCharType="end"/>
      </w:r>
      <w:r/>
    </w:p>
    <w:p>
      <w:pPr>
        <w:pStyle w:val="684"/>
        <w:jc w:val="both"/>
        <w:spacing w:before="0" w:after="0" w:line="420" w:lineRule="auto"/>
        <w:rPr>
          <w:rStyle w:val="859"/>
          <w:rFonts w:ascii="宋体" w:hAnsi="宋体" w:eastAsia="宋体" w:cs="宋体"/>
          <w:bCs/>
          <w:color w:val="000000" w:themeColor="text1"/>
          <w:sz w:val="24"/>
          <w:szCs w:val="24"/>
          <w:highlight w:val="none"/>
          <w:u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"_Toc226127001" </w:instrText>
      </w:r>
      <w:r>
        <w:rPr>
          <w:color w:val="000000" w:themeColor="text1"/>
          <w:highlight w:val="none"/>
          <w14:textFill>
            <w14:solidFill>
              <w14:schemeClr w14:val="tx1"/>
            </w14:solidFill>
          </w14:textFill>
        </w:rPr>
        <w:fldChar w:fldCharType="separate"/>
      </w:r>
      <w:r>
        <w:rPr>
          <w:rStyle w:val="859"/>
          <w:rFonts w:hint="eastAsia" w:ascii="宋体" w:hAnsi="宋体" w:eastAsia="宋体" w:cs="宋体"/>
          <w:bCs/>
          <w:color w:val="000000" w:themeColor="text1"/>
          <w:sz w:val="24"/>
          <w:szCs w:val="24"/>
          <w:highlight w:val="none"/>
          <w:u w:val="none"/>
          <w14:textFill>
            <w14:solidFill>
              <w14:schemeClr w14:val="tx1"/>
            </w14:solidFill>
          </w14:textFill>
        </w:rPr>
        <w:t xml:space="preserve">第三章 项目需求</w:t>
      </w:r>
      <w:r>
        <w:rPr>
          <w:rStyle w:val="859"/>
          <w:rFonts w:hint="eastAsia" w:ascii="宋体" w:hAnsi="宋体" w:eastAsia="宋体" w:cs="宋体"/>
          <w:bCs/>
          <w:color w:val="000000" w:themeColor="text1"/>
          <w:sz w:val="24"/>
          <w:szCs w:val="24"/>
          <w:highlight w:val="none"/>
          <w:u w:val="none"/>
          <w14:textFill>
            <w14:solidFill>
              <w14:schemeClr w14:val="tx1"/>
            </w14:solidFill>
          </w14:textFill>
        </w:rPr>
        <w:tab/>
      </w:r>
      <w:r>
        <w:rPr>
          <w:rStyle w:val="859"/>
          <w:rFonts w:hint="eastAsia" w:ascii="宋体" w:hAnsi="宋体" w:eastAsia="宋体" w:cs="宋体"/>
          <w:bCs/>
          <w:color w:val="000000" w:themeColor="text1"/>
          <w:sz w:val="24"/>
          <w:szCs w:val="24"/>
          <w:highlight w:val="none"/>
          <w:u w:val="none"/>
          <w14:textFill>
            <w14:solidFill>
              <w14:schemeClr w14:val="tx1"/>
            </w14:solidFill>
          </w14:textFill>
        </w:rPr>
        <w:fldChar w:fldCharType="begin"/>
      </w:r>
      <w:r>
        <w:rPr>
          <w:rStyle w:val="859"/>
          <w:rFonts w:hint="eastAsia" w:ascii="宋体" w:hAnsi="宋体" w:eastAsia="宋体" w:cs="宋体"/>
          <w:bCs/>
          <w:color w:val="000000" w:themeColor="text1"/>
          <w:sz w:val="24"/>
          <w:szCs w:val="24"/>
          <w:highlight w:val="none"/>
          <w:u w:val="none"/>
          <w14:textFill>
            <w14:solidFill>
              <w14:schemeClr w14:val="tx1"/>
            </w14:solidFill>
          </w14:textFill>
        </w:rPr>
        <w:instrText xml:space="preserve"> PAGEREF _Toc226127001 \h </w:instrText>
      </w:r>
      <w:r>
        <w:rPr>
          <w:rStyle w:val="859"/>
          <w:rFonts w:hint="eastAsia" w:ascii="宋体" w:hAnsi="宋体" w:eastAsia="宋体" w:cs="宋体"/>
          <w:bCs/>
          <w:color w:val="000000" w:themeColor="text1"/>
          <w:sz w:val="24"/>
          <w:szCs w:val="24"/>
          <w:highlight w:val="none"/>
          <w:u w:val="none"/>
          <w14:textFill>
            <w14:solidFill>
              <w14:schemeClr w14:val="tx1"/>
            </w14:solidFill>
          </w14:textFill>
        </w:rPr>
        <w:fldChar w:fldCharType="separate"/>
      </w:r>
      <w:r>
        <w:rPr>
          <w:rStyle w:val="859"/>
          <w:rFonts w:hint="eastAsia" w:ascii="宋体" w:hAnsi="宋体" w:eastAsia="宋体" w:cs="宋体"/>
          <w:bCs/>
          <w:color w:val="000000" w:themeColor="text1"/>
          <w:sz w:val="24"/>
          <w:szCs w:val="24"/>
          <w:highlight w:val="none"/>
          <w:u w:val="none"/>
          <w14:textFill>
            <w14:solidFill>
              <w14:schemeClr w14:val="tx1"/>
            </w14:solidFill>
          </w14:textFill>
        </w:rPr>
        <w:t xml:space="preserve">17</w:t>
      </w:r>
      <w:r>
        <w:rPr>
          <w:rStyle w:val="859"/>
          <w:rFonts w:hint="eastAsia" w:ascii="宋体" w:hAnsi="宋体" w:eastAsia="宋体" w:cs="宋体"/>
          <w:bCs/>
          <w:color w:val="000000" w:themeColor="text1"/>
          <w:sz w:val="24"/>
          <w:szCs w:val="24"/>
          <w:highlight w:val="none"/>
          <w:u w:val="none"/>
          <w14:textFill>
            <w14:solidFill>
              <w14:schemeClr w14:val="tx1"/>
            </w14:solidFill>
          </w14:textFill>
        </w:rPr>
        <w:fldChar w:fldCharType="end"/>
      </w:r>
      <w:r>
        <w:rPr>
          <w:rStyle w:val="859"/>
          <w:rFonts w:hint="eastAsia" w:ascii="宋体" w:hAnsi="宋体" w:eastAsia="宋体" w:cs="宋体"/>
          <w:bCs/>
          <w:color w:val="000000" w:themeColor="text1"/>
          <w:sz w:val="24"/>
          <w:szCs w:val="24"/>
          <w:highlight w:val="none"/>
          <w:u w:val="none"/>
          <w14:textFill>
            <w14:solidFill>
              <w14:schemeClr w14:val="tx1"/>
            </w14:solidFill>
          </w14:textFill>
        </w:rPr>
        <w:fldChar w:fldCharType="end"/>
      </w:r>
      <w:r/>
    </w:p>
    <w:p>
      <w:pPr>
        <w:pStyle w:val="684"/>
        <w:jc w:val="both"/>
        <w:spacing w:before="0" w:after="0" w:line="420" w:lineRule="auto"/>
        <w:rPr>
          <w:rStyle w:val="859"/>
          <w:rFonts w:ascii="宋体" w:hAnsi="宋体" w:eastAsia="宋体" w:cs="宋体"/>
          <w:bCs/>
          <w:color w:val="000000" w:themeColor="text1"/>
          <w:sz w:val="24"/>
          <w:szCs w:val="24"/>
          <w:highlight w:val="none"/>
          <w:u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"_Toc226127002" </w:instrText>
      </w:r>
      <w:r>
        <w:rPr>
          <w:color w:val="000000" w:themeColor="text1"/>
          <w:highlight w:val="none"/>
          <w14:textFill>
            <w14:solidFill>
              <w14:schemeClr w14:val="tx1"/>
            </w14:solidFill>
          </w14:textFill>
        </w:rPr>
        <w:fldChar w:fldCharType="separate"/>
      </w:r>
      <w:r>
        <w:rPr>
          <w:rStyle w:val="859"/>
          <w:rFonts w:hint="eastAsia" w:ascii="宋体" w:hAnsi="宋体" w:eastAsia="宋体" w:cs="宋体"/>
          <w:bCs/>
          <w:color w:val="000000" w:themeColor="text1"/>
          <w:sz w:val="24"/>
          <w:szCs w:val="24"/>
          <w:highlight w:val="none"/>
          <w:u w:val="none"/>
          <w14:textFill>
            <w14:solidFill>
              <w14:schemeClr w14:val="tx1"/>
            </w14:solidFill>
          </w14:textFill>
        </w:rPr>
        <w:t xml:space="preserve">第四章 评标方法与评标标准</w:t>
      </w:r>
      <w:r>
        <w:rPr>
          <w:rStyle w:val="859"/>
          <w:rFonts w:hint="eastAsia" w:ascii="宋体" w:hAnsi="宋体" w:eastAsia="宋体" w:cs="宋体"/>
          <w:bCs/>
          <w:color w:val="000000" w:themeColor="text1"/>
          <w:sz w:val="24"/>
          <w:szCs w:val="24"/>
          <w:highlight w:val="none"/>
          <w:u w:val="none"/>
          <w14:textFill>
            <w14:solidFill>
              <w14:schemeClr w14:val="tx1"/>
            </w14:solidFill>
          </w14:textFill>
        </w:rPr>
        <w:tab/>
      </w:r>
      <w:r>
        <w:rPr>
          <w:rStyle w:val="859"/>
          <w:rFonts w:hint="eastAsia" w:ascii="宋体" w:hAnsi="宋体" w:eastAsia="宋体" w:cs="宋体"/>
          <w:bCs/>
          <w:color w:val="000000" w:themeColor="text1"/>
          <w:sz w:val="24"/>
          <w:szCs w:val="24"/>
          <w:highlight w:val="none"/>
          <w:u w:val="none"/>
          <w14:textFill>
            <w14:solidFill>
              <w14:schemeClr w14:val="tx1"/>
            </w14:solidFill>
          </w14:textFill>
        </w:rPr>
        <w:fldChar w:fldCharType="begin"/>
      </w:r>
      <w:r>
        <w:rPr>
          <w:rStyle w:val="859"/>
          <w:rFonts w:hint="eastAsia" w:ascii="宋体" w:hAnsi="宋体" w:eastAsia="宋体" w:cs="宋体"/>
          <w:bCs/>
          <w:color w:val="000000" w:themeColor="text1"/>
          <w:sz w:val="24"/>
          <w:szCs w:val="24"/>
          <w:highlight w:val="none"/>
          <w:u w:val="none"/>
          <w14:textFill>
            <w14:solidFill>
              <w14:schemeClr w14:val="tx1"/>
            </w14:solidFill>
          </w14:textFill>
        </w:rPr>
        <w:instrText xml:space="preserve"> PAGEREF _Toc226127002 \h </w:instrText>
      </w:r>
      <w:r>
        <w:rPr>
          <w:rStyle w:val="859"/>
          <w:rFonts w:hint="eastAsia" w:ascii="宋体" w:hAnsi="宋体" w:eastAsia="宋体" w:cs="宋体"/>
          <w:bCs/>
          <w:color w:val="000000" w:themeColor="text1"/>
          <w:sz w:val="24"/>
          <w:szCs w:val="24"/>
          <w:highlight w:val="none"/>
          <w:u w:val="none"/>
          <w14:textFill>
            <w14:solidFill>
              <w14:schemeClr w14:val="tx1"/>
            </w14:solidFill>
          </w14:textFill>
        </w:rPr>
        <w:fldChar w:fldCharType="separate"/>
      </w:r>
      <w:r>
        <w:rPr>
          <w:rStyle w:val="859"/>
          <w:rFonts w:hint="eastAsia" w:ascii="宋体" w:hAnsi="宋体" w:eastAsia="宋体" w:cs="宋体"/>
          <w:bCs/>
          <w:color w:val="000000" w:themeColor="text1"/>
          <w:sz w:val="24"/>
          <w:szCs w:val="24"/>
          <w:highlight w:val="none"/>
          <w:u w:val="none"/>
          <w14:textFill>
            <w14:solidFill>
              <w14:schemeClr w14:val="tx1"/>
            </w14:solidFill>
          </w14:textFill>
        </w:rPr>
        <w:t xml:space="preserve">40</w:t>
      </w:r>
      <w:r>
        <w:rPr>
          <w:rStyle w:val="859"/>
          <w:rFonts w:hint="eastAsia" w:ascii="宋体" w:hAnsi="宋体" w:eastAsia="宋体" w:cs="宋体"/>
          <w:bCs/>
          <w:color w:val="000000" w:themeColor="text1"/>
          <w:sz w:val="24"/>
          <w:szCs w:val="24"/>
          <w:highlight w:val="none"/>
          <w:u w:val="none"/>
          <w14:textFill>
            <w14:solidFill>
              <w14:schemeClr w14:val="tx1"/>
            </w14:solidFill>
          </w14:textFill>
        </w:rPr>
        <w:fldChar w:fldCharType="end"/>
      </w:r>
      <w:r>
        <w:rPr>
          <w:rStyle w:val="859"/>
          <w:rFonts w:hint="eastAsia" w:ascii="宋体" w:hAnsi="宋体" w:eastAsia="宋体" w:cs="宋体"/>
          <w:bCs/>
          <w:color w:val="000000" w:themeColor="text1"/>
          <w:sz w:val="24"/>
          <w:szCs w:val="24"/>
          <w:highlight w:val="none"/>
          <w:u w:val="none"/>
          <w14:textFill>
            <w14:solidFill>
              <w14:schemeClr w14:val="tx1"/>
            </w14:solidFill>
          </w14:textFill>
        </w:rPr>
        <w:fldChar w:fldCharType="end"/>
      </w:r>
      <w:r/>
    </w:p>
    <w:p>
      <w:pPr>
        <w:pStyle w:val="684"/>
        <w:jc w:val="both"/>
        <w:spacing w:before="0" w:after="0" w:line="420" w:lineRule="auto"/>
        <w:rPr>
          <w:rStyle w:val="859"/>
          <w:rFonts w:ascii="宋体" w:hAnsi="宋体" w:eastAsia="宋体" w:cs="宋体"/>
          <w:bCs/>
          <w:color w:val="000000" w:themeColor="text1"/>
          <w:sz w:val="24"/>
          <w:szCs w:val="24"/>
          <w:highlight w:val="none"/>
          <w:u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"_Toc226127006" </w:instrText>
      </w:r>
      <w:r>
        <w:rPr>
          <w:color w:val="000000" w:themeColor="text1"/>
          <w:highlight w:val="none"/>
          <w14:textFill>
            <w14:solidFill>
              <w14:schemeClr w14:val="tx1"/>
            </w14:solidFill>
          </w14:textFill>
        </w:rPr>
        <w:fldChar w:fldCharType="separate"/>
      </w:r>
      <w:r>
        <w:rPr>
          <w:rStyle w:val="859"/>
          <w:rFonts w:hint="eastAsia" w:ascii="宋体" w:hAnsi="宋体" w:eastAsia="宋体" w:cs="宋体"/>
          <w:bCs/>
          <w:color w:val="000000" w:themeColor="text1"/>
          <w:sz w:val="24"/>
          <w:szCs w:val="24"/>
          <w:highlight w:val="none"/>
          <w:u w:val="none"/>
          <w14:textFill>
            <w14:solidFill>
              <w14:schemeClr w14:val="tx1"/>
            </w14:solidFill>
          </w14:textFill>
        </w:rPr>
        <w:t xml:space="preserve">第五章 合同文本</w:t>
      </w:r>
      <w:r>
        <w:rPr>
          <w:rStyle w:val="859"/>
          <w:rFonts w:hint="eastAsia" w:ascii="宋体" w:hAnsi="宋体" w:eastAsia="宋体" w:cs="宋体"/>
          <w:bCs/>
          <w:color w:val="000000" w:themeColor="text1"/>
          <w:sz w:val="24"/>
          <w:szCs w:val="24"/>
          <w:highlight w:val="none"/>
          <w:u w:val="none"/>
          <w14:textFill>
            <w14:solidFill>
              <w14:schemeClr w14:val="tx1"/>
            </w14:solidFill>
          </w14:textFill>
        </w:rPr>
        <w:tab/>
      </w:r>
      <w:r>
        <w:rPr>
          <w:rStyle w:val="859"/>
          <w:rFonts w:hint="eastAsia" w:ascii="宋体" w:hAnsi="宋体" w:eastAsia="宋体" w:cs="宋体"/>
          <w:bCs/>
          <w:color w:val="000000" w:themeColor="text1"/>
          <w:sz w:val="24"/>
          <w:szCs w:val="24"/>
          <w:highlight w:val="none"/>
          <w:u w:val="none"/>
          <w14:textFill>
            <w14:solidFill>
              <w14:schemeClr w14:val="tx1"/>
            </w14:solidFill>
          </w14:textFill>
        </w:rPr>
        <w:fldChar w:fldCharType="begin"/>
      </w:r>
      <w:r>
        <w:rPr>
          <w:rStyle w:val="859"/>
          <w:rFonts w:hint="eastAsia" w:ascii="宋体" w:hAnsi="宋体" w:eastAsia="宋体" w:cs="宋体"/>
          <w:bCs/>
          <w:color w:val="000000" w:themeColor="text1"/>
          <w:sz w:val="24"/>
          <w:szCs w:val="24"/>
          <w:highlight w:val="none"/>
          <w:u w:val="none"/>
          <w14:textFill>
            <w14:solidFill>
              <w14:schemeClr w14:val="tx1"/>
            </w14:solidFill>
          </w14:textFill>
        </w:rPr>
        <w:instrText xml:space="preserve"> PAGEREF _Toc226127006 \h </w:instrText>
      </w:r>
      <w:r>
        <w:rPr>
          <w:rStyle w:val="859"/>
          <w:rFonts w:hint="eastAsia" w:ascii="宋体" w:hAnsi="宋体" w:eastAsia="宋体" w:cs="宋体"/>
          <w:bCs/>
          <w:color w:val="000000" w:themeColor="text1"/>
          <w:sz w:val="24"/>
          <w:szCs w:val="24"/>
          <w:highlight w:val="none"/>
          <w:u w:val="none"/>
          <w14:textFill>
            <w14:solidFill>
              <w14:schemeClr w14:val="tx1"/>
            </w14:solidFill>
          </w14:textFill>
        </w:rPr>
        <w:fldChar w:fldCharType="separate"/>
      </w:r>
      <w:r>
        <w:rPr>
          <w:rStyle w:val="859"/>
          <w:rFonts w:hint="eastAsia" w:ascii="宋体" w:hAnsi="宋体" w:eastAsia="宋体" w:cs="宋体"/>
          <w:bCs/>
          <w:color w:val="000000" w:themeColor="text1"/>
          <w:sz w:val="24"/>
          <w:szCs w:val="24"/>
          <w:highlight w:val="none"/>
          <w:u w:val="none"/>
          <w14:textFill>
            <w14:solidFill>
              <w14:schemeClr w14:val="tx1"/>
            </w14:solidFill>
          </w14:textFill>
        </w:rPr>
        <w:t xml:space="preserve">42</w:t>
      </w:r>
      <w:r>
        <w:rPr>
          <w:rStyle w:val="859"/>
          <w:rFonts w:hint="eastAsia" w:ascii="宋体" w:hAnsi="宋体" w:eastAsia="宋体" w:cs="宋体"/>
          <w:bCs/>
          <w:color w:val="000000" w:themeColor="text1"/>
          <w:sz w:val="24"/>
          <w:szCs w:val="24"/>
          <w:highlight w:val="none"/>
          <w:u w:val="none"/>
          <w14:textFill>
            <w14:solidFill>
              <w14:schemeClr w14:val="tx1"/>
            </w14:solidFill>
          </w14:textFill>
        </w:rPr>
        <w:fldChar w:fldCharType="end"/>
      </w:r>
      <w:r>
        <w:rPr>
          <w:rStyle w:val="859"/>
          <w:rFonts w:hint="eastAsia" w:ascii="宋体" w:hAnsi="宋体" w:eastAsia="宋体" w:cs="宋体"/>
          <w:bCs/>
          <w:color w:val="000000" w:themeColor="text1"/>
          <w:sz w:val="24"/>
          <w:szCs w:val="24"/>
          <w:highlight w:val="none"/>
          <w:u w:val="none"/>
          <w14:textFill>
            <w14:solidFill>
              <w14:schemeClr w14:val="tx1"/>
            </w14:solidFill>
          </w14:textFill>
        </w:rPr>
        <w:fldChar w:fldCharType="end"/>
      </w:r>
      <w:r/>
    </w:p>
    <w:p>
      <w:pPr>
        <w:pStyle w:val="684"/>
        <w:jc w:val="both"/>
        <w:spacing w:before="0" w:after="0" w:line="420" w:lineRule="auto"/>
        <w:rPr>
          <w:rStyle w:val="859"/>
          <w:rFonts w:ascii="宋体" w:hAnsi="宋体" w:eastAsia="宋体" w:cs="宋体"/>
          <w:bCs/>
          <w:color w:val="000000" w:themeColor="text1"/>
          <w:sz w:val="24"/>
          <w:szCs w:val="24"/>
          <w:highlight w:val="none"/>
          <w:u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"_Toc226127007" </w:instrText>
      </w:r>
      <w:r>
        <w:rPr>
          <w:color w:val="000000" w:themeColor="text1"/>
          <w:highlight w:val="none"/>
          <w14:textFill>
            <w14:solidFill>
              <w14:schemeClr w14:val="tx1"/>
            </w14:solidFill>
          </w14:textFill>
        </w:rPr>
        <w:fldChar w:fldCharType="separate"/>
      </w:r>
      <w:r>
        <w:rPr>
          <w:rStyle w:val="859"/>
          <w:rFonts w:hint="eastAsia" w:ascii="宋体" w:hAnsi="宋体" w:eastAsia="宋体" w:cs="宋体"/>
          <w:bCs/>
          <w:color w:val="000000" w:themeColor="text1"/>
          <w:sz w:val="24"/>
          <w:szCs w:val="24"/>
          <w:highlight w:val="none"/>
          <w:u w:val="none"/>
          <w14:textFill>
            <w14:solidFill>
              <w14:schemeClr w14:val="tx1"/>
            </w14:solidFill>
          </w14:textFill>
        </w:rPr>
        <w:t xml:space="preserve">第六章 投标文件格式</w:t>
      </w:r>
      <w:r>
        <w:rPr>
          <w:rStyle w:val="859"/>
          <w:rFonts w:hint="eastAsia" w:ascii="宋体" w:hAnsi="宋体" w:eastAsia="宋体" w:cs="宋体"/>
          <w:bCs/>
          <w:color w:val="000000" w:themeColor="text1"/>
          <w:sz w:val="24"/>
          <w:szCs w:val="24"/>
          <w:highlight w:val="none"/>
          <w:u w:val="none"/>
          <w14:textFill>
            <w14:solidFill>
              <w14:schemeClr w14:val="tx1"/>
            </w14:solidFill>
          </w14:textFill>
        </w:rPr>
        <w:tab/>
      </w:r>
      <w:r>
        <w:rPr>
          <w:rStyle w:val="859"/>
          <w:rFonts w:hint="eastAsia" w:ascii="宋体" w:hAnsi="宋体" w:eastAsia="宋体" w:cs="宋体"/>
          <w:bCs/>
          <w:color w:val="000000" w:themeColor="text1"/>
          <w:sz w:val="24"/>
          <w:szCs w:val="24"/>
          <w:highlight w:val="none"/>
          <w:u w:val="none"/>
          <w14:textFill>
            <w14:solidFill>
              <w14:schemeClr w14:val="tx1"/>
            </w14:solidFill>
          </w14:textFill>
        </w:rPr>
        <w:fldChar w:fldCharType="begin"/>
      </w:r>
      <w:r>
        <w:rPr>
          <w:rStyle w:val="859"/>
          <w:rFonts w:hint="eastAsia" w:ascii="宋体" w:hAnsi="宋体" w:eastAsia="宋体" w:cs="宋体"/>
          <w:bCs/>
          <w:color w:val="000000" w:themeColor="text1"/>
          <w:sz w:val="24"/>
          <w:szCs w:val="24"/>
          <w:highlight w:val="none"/>
          <w:u w:val="none"/>
          <w14:textFill>
            <w14:solidFill>
              <w14:schemeClr w14:val="tx1"/>
            </w14:solidFill>
          </w14:textFill>
        </w:rPr>
        <w:instrText xml:space="preserve"> PAGEREF _Toc226127007 \h </w:instrText>
      </w:r>
      <w:r>
        <w:rPr>
          <w:rStyle w:val="859"/>
          <w:rFonts w:hint="eastAsia" w:ascii="宋体" w:hAnsi="宋体" w:eastAsia="宋体" w:cs="宋体"/>
          <w:bCs/>
          <w:color w:val="000000" w:themeColor="text1"/>
          <w:sz w:val="24"/>
          <w:szCs w:val="24"/>
          <w:highlight w:val="none"/>
          <w:u w:val="none"/>
          <w14:textFill>
            <w14:solidFill>
              <w14:schemeClr w14:val="tx1"/>
            </w14:solidFill>
          </w14:textFill>
        </w:rPr>
        <w:fldChar w:fldCharType="separate"/>
      </w:r>
      <w:r>
        <w:rPr>
          <w:rStyle w:val="859"/>
          <w:rFonts w:hint="eastAsia" w:ascii="宋体" w:hAnsi="宋体" w:eastAsia="宋体" w:cs="宋体"/>
          <w:bCs/>
          <w:color w:val="000000" w:themeColor="text1"/>
          <w:sz w:val="24"/>
          <w:szCs w:val="24"/>
          <w:highlight w:val="none"/>
          <w:u w:val="none"/>
          <w14:textFill>
            <w14:solidFill>
              <w14:schemeClr w14:val="tx1"/>
            </w14:solidFill>
          </w14:textFill>
        </w:rPr>
        <w:t xml:space="preserve">43</w:t>
      </w:r>
      <w:r>
        <w:rPr>
          <w:rStyle w:val="859"/>
          <w:rFonts w:hint="eastAsia" w:ascii="宋体" w:hAnsi="宋体" w:eastAsia="宋体" w:cs="宋体"/>
          <w:bCs/>
          <w:color w:val="000000" w:themeColor="text1"/>
          <w:sz w:val="24"/>
          <w:szCs w:val="24"/>
          <w:highlight w:val="none"/>
          <w:u w:val="none"/>
          <w14:textFill>
            <w14:solidFill>
              <w14:schemeClr w14:val="tx1"/>
            </w14:solidFill>
          </w14:textFill>
        </w:rPr>
        <w:fldChar w:fldCharType="end"/>
      </w:r>
      <w:r>
        <w:rPr>
          <w:rStyle w:val="859"/>
          <w:rFonts w:hint="eastAsia" w:ascii="宋体" w:hAnsi="宋体" w:eastAsia="宋体" w:cs="宋体"/>
          <w:bCs/>
          <w:color w:val="000000" w:themeColor="text1"/>
          <w:sz w:val="24"/>
          <w:szCs w:val="24"/>
          <w:highlight w:val="none"/>
          <w:u w:val="none"/>
          <w14:textFill>
            <w14:solidFill>
              <w14:schemeClr w14:val="tx1"/>
            </w14:solidFill>
          </w14:textFill>
        </w:rPr>
        <w:fldChar w:fldCharType="end"/>
      </w:r>
      <w:r/>
    </w:p>
    <w:p>
      <w:pPr>
        <w:pStyle w:val="690"/>
        <w:ind w:firstLine="480"/>
        <w:jc w:val="both"/>
        <w:spacing w:line="420" w:lineRule="auto"/>
        <w:rPr>
          <w:rFonts w:ascii="宋体" w:hAnsi="宋体" w:eastAsia="宋体" w:cs="宋体"/>
          <w:color w:val="000000" w:themeColor="text1"/>
          <w:sz w:val="24"/>
          <w:highlight w:val="none"/>
          <w14:textFill>
            <w14:solidFill>
              <w14:schemeClr w14:val="tx1"/>
            </w14:solidFill>
          </w14:textFill>
        </w:rPr>
      </w:pPr>
      <w:r>
        <w:rPr>
          <w:rStyle w:val="859"/>
          <w:rFonts w:hint="eastAsia" w:ascii="宋体" w:hAnsi="宋体" w:eastAsia="宋体" w:cs="宋体"/>
          <w:color w:val="000000" w:themeColor="text1"/>
          <w:sz w:val="24"/>
          <w:szCs w:val="24"/>
          <w:highlight w:val="none"/>
          <w:u w:val="none"/>
          <w14:textFill>
            <w14:solidFill>
              <w14:schemeClr w14:val="tx1"/>
            </w14:solidFill>
          </w14:textFill>
        </w:rPr>
        <w:fldChar w:fldCharType="end"/>
      </w:r>
      <w:r/>
    </w:p>
    <w:p>
      <w:pPr>
        <w:pStyle w:val="845"/>
        <w:jc w:val="center"/>
        <w:spacing w:before="286" w:after="286"/>
        <w:rPr>
          <w:rFonts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bookmarkStart w:id="12" w:name="_Toc12708969"/>
      <w:r/>
      <w:bookmarkStart w:id="13" w:name="_Toc12887259"/>
      <w:r/>
      <w:bookmarkStart w:id="14" w:name="_Toc226126992"/>
      <w:r>
        <w:rPr>
          <w:rFonts w:hint="eastAsia" w:ascii="宋体" w:hAnsi="宋体" w:eastAsia="宋体" w:cs="宋体"/>
          <w:b/>
          <w:bCs/>
          <w:color w:val="000000" w:themeColor="text1"/>
          <w:sz w:val="36"/>
          <w:szCs w:val="36"/>
          <w:highlight w:val="none"/>
          <w14:textFill>
            <w14:solidFill>
              <w14:schemeClr w14:val="tx1"/>
            </w14:solidFill>
          </w14:textFill>
        </w:rPr>
        <w:t xml:space="preserve">第一章</w:t>
      </w:r>
      <w:bookmarkEnd w:id="3"/>
      <w:r>
        <w:rPr>
          <w:rFonts w:hint="eastAsia" w:ascii="宋体" w:hAnsi="宋体" w:eastAsia="宋体" w:cs="宋体"/>
          <w:b/>
          <w:bCs/>
          <w:color w:val="000000" w:themeColor="text1"/>
          <w:sz w:val="36"/>
          <w:szCs w:val="36"/>
          <w:highlight w:val="none"/>
          <w14:textFill>
            <w14:solidFill>
              <w14:schemeClr w14:val="tx1"/>
            </w14:solidFill>
          </w14:textFill>
        </w:rPr>
        <w:t xml:space="preserve"> 投标邀请</w:t>
      </w:r>
      <w:bookmarkEnd w:id="10"/>
      <w:r/>
      <w:bookmarkEnd w:id="11"/>
      <w:r/>
      <w:bookmarkEnd w:id="12"/>
      <w:r/>
      <w:bookmarkEnd w:id="13"/>
      <w:r/>
      <w:bookmarkEnd w:id="14"/>
      <w:r/>
      <w:r/>
    </w:p>
    <w:p>
      <w:pPr>
        <w:ind w:firstLine="480"/>
        <w:spacing w:line="400" w:lineRule="exact"/>
        <w:rPr>
          <w:rFonts w:ascii="宋体" w:hAnsi="宋体" w:cs="宋体"/>
          <w:color w:val="000000" w:themeColor="text1"/>
          <w:sz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bookmarkStart w:id="15" w:name="_Hlk44593331"/>
      <w:r>
        <w:rPr>
          <w:rFonts w:hint="eastAsia" w:ascii="宋体" w:hAnsi="宋体" w:cs="宋体"/>
          <w:color w:val="000000" w:themeColor="text1"/>
          <w:sz w:val="24"/>
          <w:highlight w:val="none"/>
          <w14:textFill>
            <w14:solidFill>
              <w14:schemeClr w14:val="tx1"/>
            </w14:solidFill>
          </w14:textFill>
        </w:rPr>
        <w:t xml:space="preserve">项目概况</w:t>
      </w:r>
      <w:r/>
    </w:p>
    <w:p>
      <w:pPr>
        <w:ind w:firstLine="480"/>
        <w:spacing w:line="400" w:lineRule="exact"/>
        <w:rPr>
          <w:rFonts w:ascii="宋体" w:hAnsi="宋体" w:cs="宋体"/>
          <w:color w:val="000000" w:themeColor="text1"/>
          <w:sz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highlight w:val="none"/>
          <w:u w:val="single"/>
          <w14:textFill>
            <w14:solidFill>
              <w14:schemeClr w14:val="tx1"/>
            </w14:solidFill>
          </w14:textFill>
        </w:rPr>
        <w:t xml:space="preserve">江苏省交通技师学院全光网络建设项目的潜在投标人应在江苏政府采购网“苏采云”系统获取招标文件，并于2026年08月</w:t>
      </w:r>
      <w:r>
        <w:rPr>
          <w:rFonts w:hint="eastAsia" w:ascii="宋体" w:hAnsi="宋体" w:cs="宋体"/>
          <w:color w:val="000000" w:themeColor="text1"/>
          <w:sz w:val="24"/>
          <w:highlight w:val="none"/>
          <w:u w:val="single"/>
          <w:lang w:val="en-US" w:eastAsia="zh-CN"/>
          <w14:textFill>
            <w14:solidFill>
              <w14:schemeClr w14:val="tx1"/>
            </w14:solidFill>
          </w14:textFill>
        </w:rPr>
        <w:t xml:space="preserve">18</w:t>
      </w:r>
      <w:r>
        <w:rPr>
          <w:rFonts w:hint="eastAsia" w:ascii="宋体" w:hAnsi="宋体" w:cs="宋体"/>
          <w:color w:val="000000" w:themeColor="text1"/>
          <w:sz w:val="24"/>
          <w:highlight w:val="none"/>
          <w:u w:val="single"/>
          <w14:textFill>
            <w14:solidFill>
              <w14:schemeClr w14:val="tx1"/>
            </w14:solidFill>
          </w14:textFill>
        </w:rPr>
        <w:t xml:space="preserve">日14：30（北京时间）前递交响应文件。</w:t>
      </w:r>
      <w:r/>
    </w:p>
    <w:p>
      <w:pPr>
        <w:ind w:firstLine="482"/>
        <w:spacing w:line="440" w:lineRule="exact"/>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一、项目基本情况</w:t>
      </w:r>
      <w:r/>
    </w:p>
    <w:p>
      <w:pPr>
        <w:ind w:firstLine="480"/>
        <w:spacing w:line="440" w:lineRule="exact"/>
        <w:widowControl/>
        <w:rPr>
          <w:rFonts w:ascii="宋体" w:hAnsi="宋体" w:cs="宋体"/>
          <w:bCs/>
          <w:color w:val="000000" w:themeColor="text1"/>
          <w:sz w:val="24"/>
          <w:highlight w:val="none"/>
          <w14:textFill>
            <w14:solidFill>
              <w14:schemeClr w14:val="tx1"/>
            </w14:solidFill>
          </w14:textFill>
        </w:rPr>
      </w:pPr>
      <w:r/>
      <w:bookmarkStart w:id="16" w:name="_Hlk28680462"/>
      <w:r>
        <w:rPr>
          <w:rFonts w:hint="eastAsia" w:ascii="宋体" w:hAnsi="宋体" w:cs="宋体"/>
          <w:bCs/>
          <w:color w:val="000000" w:themeColor="text1"/>
          <w:sz w:val="24"/>
          <w:highlight w:val="none"/>
          <w14:textFill>
            <w14:solidFill>
              <w14:schemeClr w14:val="tx1"/>
            </w14:solidFill>
          </w14:textFill>
        </w:rPr>
        <w:t xml:space="preserve">（一）项目编号：JSZC-320000-JSJW-G2026-0036</w:t>
      </w:r>
      <w:r/>
    </w:p>
    <w:p>
      <w:pPr>
        <w:ind w:firstLine="480"/>
        <w:spacing w:line="440" w:lineRule="exact"/>
        <w:widowControl/>
        <w:rPr>
          <w:rFonts w:ascii="宋体" w:hAnsi="宋体" w:cs="宋体"/>
          <w:bCs/>
          <w:color w:val="000000" w:themeColor="text1"/>
          <w:sz w:val="24"/>
          <w:highlight w:val="none"/>
          <w14:textFill>
            <w14:solidFill>
              <w14:schemeClr w14:val="tx1"/>
            </w14:solidFill>
          </w14:textFill>
        </w:rPr>
      </w:pPr>
      <w:r/>
      <w:bookmarkStart w:id="17" w:name="_Hlk88135353"/>
      <w:r>
        <w:rPr>
          <w:rFonts w:hint="eastAsia" w:ascii="宋体" w:hAnsi="宋体" w:cs="宋体"/>
          <w:bCs/>
          <w:color w:val="000000" w:themeColor="text1"/>
          <w:sz w:val="24"/>
          <w:highlight w:val="none"/>
          <w14:textFill>
            <w14:solidFill>
              <w14:schemeClr w14:val="tx1"/>
            </w14:solidFill>
          </w14:textFill>
        </w:rPr>
        <w:t xml:space="preserve">（二）项目名称：</w:t>
      </w:r>
      <w:bookmarkEnd w:id="17"/>
      <w:r/>
      <w:bookmarkStart w:id="18" w:name="OLE_LINK6"/>
      <w:r>
        <w:rPr>
          <w:rFonts w:hint="eastAsia" w:ascii="宋体" w:hAnsi="宋体" w:cs="宋体"/>
          <w:bCs/>
          <w:color w:val="000000" w:themeColor="text1"/>
          <w:sz w:val="24"/>
          <w:highlight w:val="none"/>
          <w14:textFill>
            <w14:solidFill>
              <w14:schemeClr w14:val="tx1"/>
            </w14:solidFill>
          </w14:textFill>
        </w:rPr>
        <w:t xml:space="preserve">江苏省交通技师学院全光网络建设项目</w:t>
      </w:r>
      <w:bookmarkEnd w:id="18"/>
      <w:r/>
    </w:p>
    <w:p>
      <w:pPr>
        <w:ind w:firstLine="480"/>
        <w:spacing w:line="440" w:lineRule="exac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（三）预算金额：人民币255万元</w:t>
      </w:r>
      <w:r/>
    </w:p>
    <w:p>
      <w:pPr>
        <w:ind w:firstLine="480"/>
        <w:spacing w:line="440" w:lineRule="exac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（四）最高限价：</w:t>
      </w:r>
      <w:r>
        <w:rPr>
          <w:rFonts w:hint="eastAsia" w:ascii="宋体" w:hAnsi="宋体" w:cs="宋体"/>
          <w:color w:val="000000" w:themeColor="text1"/>
          <w:sz w:val="24"/>
          <w:highlight w:val="none"/>
          <w14:textFill>
            <w14:solidFill>
              <w14:schemeClr w14:val="tx1"/>
            </w14:solidFill>
          </w14:textFill>
        </w:rPr>
        <w:t xml:space="preserve">本项目</w:t>
      </w:r>
      <w:r>
        <w:rPr>
          <w:rFonts w:hint="eastAsia" w:ascii="宋体" w:hAnsi="宋体" w:cs="宋体"/>
          <w:bCs/>
          <w:color w:val="000000" w:themeColor="text1"/>
          <w:sz w:val="24"/>
          <w:highlight w:val="none"/>
          <w14:textFill>
            <w14:solidFill>
              <w14:schemeClr w14:val="tx1"/>
            </w14:solidFill>
          </w14:textFill>
        </w:rPr>
        <w:t xml:space="preserve">设定最高限价，最高限价为255万元，</w:t>
      </w:r>
      <w:r>
        <w:rPr>
          <w:rFonts w:hint="eastAsia" w:ascii="宋体" w:hAnsi="宋体" w:cs="宋体"/>
          <w:color w:val="000000" w:themeColor="text1"/>
          <w:sz w:val="24"/>
          <w:highlight w:val="none"/>
          <w14:textFill>
            <w14:solidFill>
              <w14:schemeClr w14:val="tx1"/>
            </w14:solidFill>
          </w14:textFill>
        </w:rPr>
        <w:t xml:space="preserve">投标人的报价超过最高限价</w:t>
      </w:r>
      <w:bookmarkStart w:id="19" w:name="_Hlk88135376"/>
      <w:r>
        <w:rPr>
          <w:rFonts w:hint="eastAsia" w:ascii="宋体" w:hAnsi="宋体" w:cs="宋体"/>
          <w:color w:val="000000" w:themeColor="text1"/>
          <w:sz w:val="24"/>
          <w:highlight w:val="none"/>
          <w14:textFill>
            <w14:solidFill>
              <w14:schemeClr w14:val="tx1"/>
            </w14:solidFill>
          </w14:textFill>
        </w:rPr>
        <w:t xml:space="preserve">的，作无效投标处理。</w:t>
      </w:r>
      <w:r/>
    </w:p>
    <w:p>
      <w:pPr>
        <w:ind w:firstLine="480"/>
        <w:spacing w:line="44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（五）采购需求：</w:t>
      </w:r>
      <w:bookmarkEnd w:id="19"/>
      <w:r/>
      <w:bookmarkStart w:id="20" w:name="_Hlk172038136"/>
      <w:r/>
      <w:bookmarkStart w:id="21" w:name="_Hlk210926822"/>
      <w:r>
        <w:rPr>
          <w:rFonts w:hint="eastAsia" w:ascii="宋体" w:hAnsi="宋体" w:cs="宋体"/>
          <w:bCs/>
          <w:color w:val="000000" w:themeColor="text1"/>
          <w:sz w:val="24"/>
          <w:highlight w:val="none"/>
          <w14:textFill>
            <w14:solidFill>
              <w14:schemeClr w14:val="tx1"/>
            </w14:solidFill>
          </w14:textFill>
        </w:rPr>
        <w:t xml:space="preserve">本项目是对江苏省交通技师学院办公、教学区等14栋楼进行全光网络建设，具体包含核心网络设备、光网设备(另有部分光网设备由甲方提供)、无线网络和施工等，详见本招标文件“第三章 项目需求”。</w:t>
      </w:r>
      <w:bookmarkEnd w:id="20"/>
      <w:r/>
      <w:bookmarkEnd w:id="21"/>
      <w:r/>
    </w:p>
    <w:p>
      <w:pPr>
        <w:ind w:firstLine="480"/>
        <w:spacing w:line="440" w:lineRule="exac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（六）合同履行期限：</w:t>
      </w:r>
      <w:bookmarkStart w:id="22" w:name="OLE_LINK40"/>
      <w:r>
        <w:rPr>
          <w:rFonts w:hint="eastAsia" w:ascii="宋体" w:hAnsi="宋体" w:cs="宋体"/>
          <w:color w:val="000000" w:themeColor="text1"/>
          <w:sz w:val="24"/>
          <w:szCs w:val="28"/>
          <w:highlight w:val="none"/>
          <w14:textFill>
            <w14:solidFill>
              <w14:schemeClr w14:val="tx1"/>
            </w14:solidFill>
          </w14:textFill>
        </w:rPr>
        <w:t xml:space="preserve">自合同签订后90个日历天内完成并正常使用。</w:t>
      </w:r>
      <w:bookmarkEnd w:id="22"/>
      <w:r/>
      <w:r/>
    </w:p>
    <w:p>
      <w:pPr>
        <w:ind w:firstLine="480"/>
        <w:spacing w:line="440" w:lineRule="exact"/>
        <w:widowControl/>
        <w:rPr>
          <w:rFonts w:ascii="宋体" w:hAnsi="宋体" w:cs="宋体"/>
          <w:color w:val="000000" w:themeColor="text1"/>
          <w:sz w:val="24"/>
          <w:highlight w:val="none"/>
          <w14:textFill>
            <w14:solidFill>
              <w14:schemeClr w14:val="tx1"/>
            </w14:solidFill>
          </w14:textFill>
        </w:rPr>
      </w:pPr>
      <w:r/>
      <w:bookmarkStart w:id="23" w:name="_Hlk172037786"/>
      <w:r>
        <w:rPr>
          <w:rFonts w:hint="eastAsia" w:ascii="宋体" w:hAnsi="宋体" w:cs="宋体"/>
          <w:bCs/>
          <w:color w:val="000000" w:themeColor="text1"/>
          <w:sz w:val="24"/>
          <w:highlight w:val="none"/>
          <w14:textFill>
            <w14:solidFill>
              <w14:schemeClr w14:val="tx1"/>
            </w14:solidFill>
          </w14:textFill>
        </w:rPr>
        <w:t xml:space="preserve">（七）</w:t>
      </w:r>
      <w:r>
        <w:rPr>
          <w:rFonts w:hint="eastAsia" w:ascii="宋体" w:hAnsi="宋体" w:cs="宋体"/>
          <w:color w:val="000000" w:themeColor="text1"/>
          <w:sz w:val="24"/>
          <w:highlight w:val="none"/>
          <w14:textFill>
            <w14:solidFill>
              <w14:schemeClr w14:val="tx1"/>
            </w14:solidFill>
          </w14:textFill>
        </w:rPr>
        <w:t xml:space="preserve">本项目</w:t>
      </w:r>
      <w:r>
        <w:rPr>
          <w:rFonts w:hint="eastAsia" w:ascii="宋体" w:hAnsi="宋体" w:cs="宋体"/>
          <w:color w:val="000000" w:themeColor="text1"/>
          <w:sz w:val="24"/>
          <w:highlight w:val="none"/>
          <w:u w:val="single"/>
          <w14:textFill>
            <w14:solidFill>
              <w14:schemeClr w14:val="tx1"/>
            </w14:solidFill>
          </w14:textFill>
        </w:rPr>
        <w:t xml:space="preserve">不接受</w:t>
      </w:r>
      <w:r>
        <w:rPr>
          <w:rFonts w:hint="eastAsia" w:ascii="宋体" w:hAnsi="宋体" w:cs="宋体"/>
          <w:color w:val="000000" w:themeColor="text1"/>
          <w:sz w:val="24"/>
          <w:highlight w:val="none"/>
          <w14:textFill>
            <w14:solidFill>
              <w14:schemeClr w14:val="tx1"/>
            </w14:solidFill>
          </w14:textFill>
        </w:rPr>
        <w:t xml:space="preserve">联合体参与投标。</w:t>
      </w:r>
      <w:bookmarkEnd w:id="16"/>
      <w:bookmarkEnd w:id="23"/>
      <w:r/>
    </w:p>
    <w:p>
      <w:pPr>
        <w:ind w:firstLine="482"/>
        <w:spacing w:line="440" w:lineRule="exact"/>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二、申请人的资格要求</w:t>
      </w:r>
      <w:r/>
    </w:p>
    <w:p>
      <w:pPr>
        <w:ind w:firstLine="482"/>
        <w:spacing w:line="440" w:lineRule="exact"/>
        <w:rPr>
          <w:rFonts w:ascii="宋体" w:hAnsi="宋体" w:cs="宋体"/>
          <w:b/>
          <w:bCs/>
          <w:color w:val="000000" w:themeColor="text1"/>
          <w:sz w:val="24"/>
          <w:highlight w:val="none"/>
          <w14:textFill>
            <w14:solidFill>
              <w14:schemeClr w14:val="tx1"/>
            </w14:solidFill>
          </w14:textFill>
        </w:rPr>
      </w:pPr>
      <w:r/>
      <w:bookmarkStart w:id="24" w:name="_Hlk8392111"/>
      <w:r>
        <w:rPr>
          <w:rFonts w:hint="eastAsia" w:ascii="宋体" w:hAnsi="宋体" w:cs="宋体"/>
          <w:b/>
          <w:bCs/>
          <w:color w:val="000000" w:themeColor="text1"/>
          <w:sz w:val="24"/>
          <w:highlight w:val="none"/>
          <w14:textFill>
            <w14:solidFill>
              <w14:schemeClr w14:val="tx1"/>
            </w14:solidFill>
          </w14:textFill>
        </w:rPr>
        <w:t xml:space="preserve">（一）满足《中华人民共和国政府采购法》第二十二条规定： </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1、通用资格要求：</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（1）提供法人或者其他组织的营业执照等证明文件，如投标人为自然人的，提供其身份证明； </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（2）提供2024年度或2025年度财务状况报告</w:t>
      </w:r>
      <w:bookmarkStart w:id="25" w:name="_Hlk108015803"/>
      <w:r>
        <w:rPr>
          <w:rFonts w:hint="eastAsia" w:ascii="宋体" w:hAnsi="宋体" w:cs="宋体"/>
          <w:color w:val="000000" w:themeColor="text1"/>
          <w:sz w:val="24"/>
          <w:highlight w:val="none"/>
          <w14:textFill>
            <w14:solidFill>
              <w14:schemeClr w14:val="tx1"/>
            </w14:solidFill>
          </w14:textFill>
        </w:rPr>
        <w:t xml:space="preserve">，或2026年1月以来</w:t>
      </w:r>
      <w:bookmarkEnd w:id="25"/>
      <w:r>
        <w:rPr>
          <w:rFonts w:hint="eastAsia" w:ascii="宋体" w:hAnsi="宋体" w:cs="宋体"/>
          <w:color w:val="000000" w:themeColor="text1"/>
          <w:sz w:val="24"/>
          <w:highlight w:val="none"/>
          <w14:textFill>
            <w14:solidFill>
              <w14:schemeClr w14:val="tx1"/>
            </w14:solidFill>
          </w14:textFill>
        </w:rPr>
        <w:t xml:space="preserve">任意一个月</w:t>
      </w:r>
      <w:bookmarkStart w:id="26" w:name="_Hlk109904785"/>
      <w:r>
        <w:rPr>
          <w:rFonts w:hint="eastAsia" w:ascii="宋体" w:hAnsi="宋体" w:cs="宋体"/>
          <w:color w:val="000000" w:themeColor="text1"/>
          <w:sz w:val="24"/>
          <w:highlight w:val="none"/>
          <w14:textFill>
            <w14:solidFill>
              <w14:schemeClr w14:val="tx1"/>
            </w14:solidFill>
          </w14:textFill>
        </w:rPr>
        <w:t xml:space="preserve">的</w:t>
      </w:r>
      <w:bookmarkStart w:id="27" w:name="_Hlk109904404"/>
      <w:r>
        <w:rPr>
          <w:rFonts w:hint="eastAsia" w:ascii="宋体" w:hAnsi="宋体" w:cs="宋体"/>
          <w:color w:val="000000" w:themeColor="text1"/>
          <w:sz w:val="24"/>
          <w:highlight w:val="none"/>
          <w14:textFill>
            <w14:solidFill>
              <w14:schemeClr w14:val="tx1"/>
            </w14:solidFill>
          </w14:textFill>
        </w:rPr>
        <w:t xml:space="preserve">财务报表</w:t>
      </w:r>
      <w:bookmarkEnd w:id="26"/>
      <w:r/>
      <w:bookmarkEnd w:id="27"/>
      <w:r>
        <w:rPr>
          <w:rFonts w:hint="eastAsia" w:ascii="宋体" w:hAnsi="宋体" w:cs="宋体"/>
          <w:color w:val="000000" w:themeColor="text1"/>
          <w:sz w:val="24"/>
          <w:highlight w:val="none"/>
          <w14:textFill>
            <w14:solidFill>
              <w14:schemeClr w14:val="tx1"/>
            </w14:solidFill>
          </w14:textFill>
        </w:rPr>
        <w:t xml:space="preserve">，或银行出具的资信证明，或财政部门认可的专业担保机构出具的投标担保函（成立不满一年不需提供）；</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提供在提交投标文件截止时间前一年内（至少一个月）依法缴纳税收（如增值税或营业税、企业所得税等）和社会保障资金的有效证明材料（投标人依法享受缓缴、免缴税收或社会保障资金的，须提供有效证明材料）；</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（4）提供具备履行合同所必需的设备和专业技术能力的书面声明；</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（5）提供参加政府采购活动前3年内在经营活动中没有重大违法记录的书面声明。</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2、其他资格要求</w:t>
      </w:r>
      <w:r/>
    </w:p>
    <w:p>
      <w:pPr>
        <w:ind w:firstLine="480"/>
        <w:spacing w:line="440" w:lineRule="exact"/>
        <w:rPr>
          <w:rFonts w:ascii="宋体" w:hAnsi="宋体" w:cs="宋体"/>
          <w:color w:val="000000" w:themeColor="text1"/>
          <w:sz w:val="24"/>
          <w:highlight w:val="none"/>
          <w14:textFill>
            <w14:solidFill>
              <w14:schemeClr w14:val="tx1"/>
            </w14:solidFill>
          </w14:textFill>
        </w:rPr>
      </w:pPr>
      <w:r/>
      <w:bookmarkStart w:id="28" w:name="_Hlk174538327"/>
      <w:r>
        <w:rPr>
          <w:rFonts w:hint="eastAsia" w:ascii="宋体" w:hAnsi="宋体" w:cs="宋体"/>
          <w:color w:val="000000" w:themeColor="text1"/>
          <w:sz w:val="24"/>
          <w:highlight w:val="none"/>
          <w14:textFill>
            <w14:solidFill>
              <w14:schemeClr w14:val="tx1"/>
            </w14:solidFill>
          </w14:textFill>
        </w:rPr>
        <w:t xml:space="preserve">（1）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（2）提供法人授权书；</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（3）提供投标函；</w:t>
      </w:r>
      <w:bookmarkEnd w:id="28"/>
      <w:r/>
      <w:r/>
    </w:p>
    <w:p>
      <w:pPr>
        <w:pStyle w:val="869"/>
        <w:ind w:firstLine="480"/>
        <w:spacing w:line="440" w:lineRule="exact"/>
        <w:rPr>
          <w:rFonts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（二）落实政府采购政策需满足的资格要求：本项目为非专门面向中小微企业项目。</w:t>
      </w:r>
      <w:r/>
    </w:p>
    <w:p>
      <w:pPr>
        <w:pStyle w:val="869"/>
        <w:ind w:firstLine="482"/>
        <w:spacing w:line="440" w:lineRule="exact"/>
        <w:rPr>
          <w:rFonts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（投标人须按要求填写并提供《中小微企业声明函》或《残疾人福利性单位声明函》或提供由省级以上监狱管理局、戒毒管理局(含新疆生产建设兵团)出具的属于监狱企业的证明文件。）</w:t>
      </w:r>
      <w:r/>
    </w:p>
    <w:p>
      <w:pPr>
        <w:ind w:firstLine="482"/>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（三）本项目的特定资格要求：</w:t>
      </w:r>
      <w:bookmarkEnd w:id="24"/>
      <w:r/>
    </w:p>
    <w:p>
      <w:pPr>
        <w:ind w:firstLine="482"/>
        <w:spacing w:line="440" w:lineRule="exact"/>
        <w:widowControl/>
        <w:rPr>
          <w:rFonts w:ascii="宋体" w:hAnsi="宋体" w:cs="宋体"/>
          <w:b/>
          <w:bCs/>
          <w:color w:val="000000" w:themeColor="text1"/>
          <w:sz w:val="24"/>
          <w:highlight w:val="none"/>
          <w14:textFill>
            <w14:solidFill>
              <w14:schemeClr w14:val="tx1"/>
            </w14:solidFill>
          </w14:textFill>
        </w:rPr>
      </w:pPr>
      <w:r/>
      <w:bookmarkStart w:id="29" w:name="OLE_LINK8"/>
      <w:r/>
      <w:bookmarkStart w:id="30" w:name="_Hlk204083582"/>
      <w:r>
        <w:rPr>
          <w:rFonts w:hint="eastAsia" w:ascii="宋体" w:hAnsi="宋体" w:cs="宋体"/>
          <w:b/>
          <w:bCs/>
          <w:color w:val="000000" w:themeColor="text1"/>
          <w:sz w:val="24"/>
          <w:highlight w:val="none"/>
          <w14:textFill>
            <w14:solidFill>
              <w14:schemeClr w14:val="tx1"/>
            </w14:solidFill>
          </w14:textFill>
        </w:rPr>
        <w:t xml:space="preserve">（1）供应商具备电子与智能化工程专业承包贰级及以上资质，并具备安全生产许可证。</w:t>
      </w:r>
      <w:r/>
    </w:p>
    <w:p>
      <w:pPr>
        <w:ind w:firstLine="482"/>
        <w:spacing w:line="44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（2）项目经理具备机电工程专业二级及以上注册建造师或通信与广电工程专业一级注册建造师，并持有有效的安全生产考核合格证书（B 类），且无在建工程以及供应商为其缴纳的</w:t>
      </w:r>
      <w:r>
        <w:rPr>
          <w:rFonts w:hint="eastAsia" w:ascii="宋体" w:hAnsi="宋体" w:cs="宋体"/>
          <w:b/>
          <w:bCs/>
          <w:color w:val="000000" w:themeColor="text1"/>
          <w:sz w:val="24"/>
          <w:highlight w:val="none"/>
          <w:lang w:val="en-US" w:eastAsia="zh-CN"/>
          <w14:textFill>
            <w14:solidFill>
              <w14:schemeClr w14:val="tx1"/>
            </w14:solidFill>
          </w14:textFill>
        </w:rPr>
        <w:t xml:space="preserve">2026年1月至今任意一个月</w:t>
      </w:r>
      <w:r>
        <w:rPr>
          <w:rFonts w:hint="eastAsia" w:ascii="宋体" w:hAnsi="宋体" w:cs="宋体"/>
          <w:b/>
          <w:bCs/>
          <w:color w:val="000000" w:themeColor="text1"/>
          <w:sz w:val="24"/>
          <w:highlight w:val="none"/>
          <w14:textFill>
            <w14:solidFill>
              <w14:schemeClr w14:val="tx1"/>
            </w14:solidFill>
          </w14:textFill>
        </w:rPr>
        <w:t xml:space="preserve">社保证明。</w:t>
      </w:r>
      <w:bookmarkEnd w:id="29"/>
      <w:r/>
    </w:p>
    <w:p>
      <w:pPr>
        <w:ind w:firstLine="482"/>
        <w:spacing w:line="440" w:lineRule="exact"/>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三、获取招标文件</w:t>
      </w:r>
      <w:r/>
    </w:p>
    <w:p>
      <w:pPr>
        <w:ind w:firstLine="480"/>
        <w:spacing w:line="440" w:lineRule="exact"/>
        <w:widowControl/>
        <w:rPr>
          <w:rFonts w:ascii="宋体" w:hAnsi="宋体" w:cs="宋体"/>
          <w:bCs/>
          <w:color w:val="000000" w:themeColor="text1"/>
          <w:sz w:val="24"/>
          <w:highlight w:val="none"/>
          <w14:textFill>
            <w14:solidFill>
              <w14:schemeClr w14:val="tx1"/>
            </w14:solidFill>
          </w14:textFill>
        </w:rPr>
      </w:pPr>
      <w:r/>
      <w:bookmarkStart w:id="31" w:name="_Hlk171011150"/>
      <w:r>
        <w:rPr>
          <w:rFonts w:hint="eastAsia" w:ascii="宋体" w:hAnsi="宋体" w:cs="宋体"/>
          <w:bCs/>
          <w:color w:val="000000" w:themeColor="text1"/>
          <w:sz w:val="24"/>
          <w:highlight w:val="none"/>
          <w14:textFill>
            <w14:solidFill>
              <w14:schemeClr w14:val="tx1"/>
            </w14:solidFill>
          </w14:textFill>
        </w:rPr>
        <w:t xml:space="preserve">（一）时间：</w:t>
      </w:r>
      <w:bookmarkStart w:id="32" w:name="_Hlk151113466"/>
      <w:r>
        <w:rPr>
          <w:rFonts w:hint="eastAsia" w:ascii="宋体" w:hAnsi="宋体" w:cs="宋体"/>
          <w:bCs/>
          <w:color w:val="000000" w:themeColor="text1"/>
          <w:sz w:val="24"/>
          <w:highlight w:val="none"/>
          <w14:textFill>
            <w14:solidFill>
              <w14:schemeClr w14:val="tx1"/>
            </w14:solidFill>
          </w14:textFill>
        </w:rPr>
        <w:t xml:space="preserve">自招标文件公告发布之日起5个工作日</w:t>
      </w:r>
      <w:bookmarkEnd w:id="32"/>
      <w:r>
        <w:rPr>
          <w:rFonts w:hint="eastAsia" w:ascii="宋体" w:hAnsi="宋体" w:cs="宋体"/>
          <w:color w:val="000000" w:themeColor="text1"/>
          <w:sz w:val="24"/>
          <w:highlight w:val="none"/>
          <w14:textFill>
            <w14:solidFill>
              <w14:schemeClr w14:val="tx1"/>
            </w14:solidFill>
          </w14:textFill>
        </w:rPr>
        <w:t xml:space="preserve">；</w:t>
      </w:r>
      <w:bookmarkEnd w:id="31"/>
      <w:r>
        <w:rPr>
          <w:rFonts w:hint="eastAsia" w:ascii="宋体" w:hAnsi="宋体" w:cs="宋体"/>
          <w:bCs/>
          <w:color w:val="000000" w:themeColor="text1"/>
          <w:sz w:val="24"/>
          <w:highlight w:val="none"/>
          <w14:textFill>
            <w14:solidFill>
              <w14:schemeClr w14:val="tx1"/>
            </w14:solidFill>
          </w14:textFill>
        </w:rPr>
        <w:t xml:space="preserve"> </w:t>
      </w:r>
      <w:r/>
    </w:p>
    <w:p>
      <w:pPr>
        <w:ind w:firstLine="480"/>
        <w:spacing w:line="440" w:lineRule="exac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（二）地点：</w:t>
      </w:r>
      <w:bookmarkStart w:id="33" w:name="OLE_LINK42"/>
      <w:r/>
      <w:bookmarkStart w:id="34" w:name="OLE_LINK41"/>
      <w:r>
        <w:rPr>
          <w:rFonts w:hint="eastAsia" w:ascii="宋体" w:hAnsi="宋体" w:cs="宋体"/>
          <w:bCs/>
          <w:color w:val="000000" w:themeColor="text1"/>
          <w:sz w:val="24"/>
          <w:highlight w:val="none"/>
          <w14:textFill>
            <w14:solidFill>
              <w14:schemeClr w14:val="tx1"/>
            </w14:solidFill>
          </w14:textFill>
        </w:rPr>
        <w:t xml:space="preserve">江苏政府采购网</w:t>
      </w:r>
      <w:bookmarkEnd w:id="33"/>
      <w:r>
        <w:rPr>
          <w:rFonts w:hint="eastAsia" w:ascii="宋体" w:hAnsi="宋体" w:cs="宋体"/>
          <w:bCs/>
          <w:color w:val="000000" w:themeColor="text1"/>
          <w:sz w:val="24"/>
          <w:highlight w:val="none"/>
          <w14:textFill>
            <w14:solidFill>
              <w14:schemeClr w14:val="tx1"/>
            </w14:solidFill>
          </w14:textFill>
        </w:rPr>
        <w:t xml:space="preserve">；</w:t>
      </w:r>
      <w:bookmarkEnd w:id="34"/>
      <w:r/>
      <w:r/>
    </w:p>
    <w:p>
      <w:pPr>
        <w:ind w:firstLine="480"/>
        <w:spacing w:line="440" w:lineRule="exact"/>
        <w:widowControl/>
        <w:rPr>
          <w:rFonts w:ascii="宋体" w:hAnsi="宋体" w:cs="宋体"/>
          <w:bCs/>
          <w:color w:val="000000" w:themeColor="text1"/>
          <w:sz w:val="24"/>
          <w:highlight w:val="none"/>
          <w14:textFill>
            <w14:solidFill>
              <w14:schemeClr w14:val="tx1"/>
            </w14:solidFill>
          </w14:textFill>
        </w:rPr>
      </w:pPr>
      <w:r/>
      <w:bookmarkStart w:id="35" w:name="_Hlk204083569"/>
      <w:r>
        <w:rPr>
          <w:rFonts w:hint="eastAsia" w:ascii="宋体" w:hAnsi="宋体" w:cs="宋体"/>
          <w:bCs/>
          <w:color w:val="000000" w:themeColor="text1"/>
          <w:sz w:val="24"/>
          <w:highlight w:val="none"/>
          <w14:textFill>
            <w14:solidFill>
              <w14:schemeClr w14:val="tx1"/>
            </w14:solidFill>
          </w14:textFill>
        </w:rPr>
        <w:t xml:space="preserve">（三）方式：</w:t>
      </w:r>
      <w:bookmarkStart w:id="36" w:name="_Hlk172038052"/>
      <w:r/>
      <w:bookmarkStart w:id="37" w:name="_Hlk171011164"/>
      <w:r>
        <w:rPr>
          <w:rFonts w:hint="eastAsia" w:ascii="宋体" w:hAnsi="宋体" w:cs="宋体"/>
          <w:bCs/>
          <w:color w:val="000000" w:themeColor="text1"/>
          <w:sz w:val="24"/>
          <w:highlight w:val="none"/>
          <w14:textFill>
            <w14:solidFill>
              <w14:schemeClr w14:val="tx1"/>
            </w14:solidFill>
          </w14:textFill>
        </w:rPr>
        <w:t xml:space="preserve">在“江苏政府采购网”自行下载采购文件</w:t>
      </w:r>
      <w:bookmarkEnd w:id="36"/>
      <w:r>
        <w:rPr>
          <w:rFonts w:hint="eastAsia" w:ascii="宋体" w:hAnsi="宋体" w:cs="宋体"/>
          <w:color w:val="000000" w:themeColor="text1"/>
          <w:sz w:val="24"/>
          <w:highlight w:val="none"/>
          <w14:textFill>
            <w14:solidFill>
              <w14:schemeClr w14:val="tx1"/>
            </w14:solidFill>
          </w14:textFill>
        </w:rPr>
        <w:t xml:space="preserve">；</w:t>
      </w:r>
      <w:bookmarkEnd w:id="37"/>
      <w:r/>
    </w:p>
    <w:p>
      <w:pPr>
        <w:ind w:firstLine="480"/>
        <w:spacing w:line="440" w:lineRule="exac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（四）售价：0元</w:t>
      </w:r>
      <w:bookmarkStart w:id="38" w:name="_Hlk162603955"/>
      <w:r/>
      <w:bookmarkStart w:id="39" w:name="_Hlk162603855"/>
      <w:r>
        <w:rPr>
          <w:rFonts w:hint="eastAsia" w:ascii="宋体" w:hAnsi="宋体" w:cs="宋体"/>
          <w:bCs/>
          <w:color w:val="000000" w:themeColor="text1"/>
          <w:sz w:val="24"/>
          <w:highlight w:val="none"/>
          <w14:textFill>
            <w14:solidFill>
              <w14:schemeClr w14:val="tx1"/>
            </w14:solidFill>
          </w14:textFill>
        </w:rPr>
        <w:t xml:space="preserve">。</w:t>
      </w:r>
      <w:bookmarkEnd w:id="30"/>
      <w:bookmarkEnd w:id="35"/>
      <w:bookmarkEnd w:id="38"/>
      <w:bookmarkEnd w:id="39"/>
      <w:r/>
    </w:p>
    <w:p>
      <w:pPr>
        <w:ind w:firstLine="482"/>
        <w:spacing w:line="440" w:lineRule="exact"/>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w:t>
      </w:r>
      <w:bookmarkStart w:id="40" w:name="_Hlk176277315"/>
      <w:r>
        <w:rPr>
          <w:rFonts w:hint="eastAsia" w:ascii="宋体" w:hAnsi="宋体" w:cs="宋体"/>
          <w:b/>
          <w:bCs/>
          <w:color w:val="000000" w:themeColor="text1"/>
          <w:sz w:val="24"/>
          <w:highlight w:val="none"/>
          <w14:textFill>
            <w14:solidFill>
              <w14:schemeClr w14:val="tx1"/>
            </w14:solidFill>
          </w14:textFill>
        </w:rPr>
        <w:t xml:space="preserve">提交投标文件截止时间</w:t>
      </w:r>
      <w:bookmarkEnd w:id="40"/>
      <w:r>
        <w:rPr>
          <w:rFonts w:hint="eastAsia" w:ascii="宋体" w:hAnsi="宋体" w:cs="宋体"/>
          <w:b/>
          <w:bCs/>
          <w:color w:val="000000" w:themeColor="text1"/>
          <w:sz w:val="24"/>
          <w:highlight w:val="none"/>
          <w14:textFill>
            <w14:solidFill>
              <w14:schemeClr w14:val="tx1"/>
            </w14:solidFill>
          </w14:textFill>
        </w:rPr>
        <w:t xml:space="preserve">、开标时间和地点</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w:t>
      </w:r>
      <w:r>
        <w:rPr>
          <w:rFonts w:hint="eastAsia" w:ascii="宋体" w:hAnsi="宋体" w:cs="宋体"/>
          <w:bCs/>
          <w:color w:val="000000" w:themeColor="text1"/>
          <w:sz w:val="24"/>
          <w:highlight w:val="none"/>
          <w14:textFill>
            <w14:solidFill>
              <w14:schemeClr w14:val="tx1"/>
            </w14:solidFill>
          </w14:textFill>
        </w:rPr>
        <w:t xml:space="preserve">提交投标文件截止时间和开标时间：2026-08-</w:t>
      </w:r>
      <w:r>
        <w:rPr>
          <w:rFonts w:hint="eastAsia" w:ascii="宋体" w:hAnsi="宋体" w:cs="宋体"/>
          <w:bCs/>
          <w:color w:val="000000" w:themeColor="text1"/>
          <w:sz w:val="24"/>
          <w:highlight w:val="none"/>
          <w:lang w:val="en-US" w:eastAsia="zh-CN"/>
          <w14:textFill>
            <w14:solidFill>
              <w14:schemeClr w14:val="tx1"/>
            </w14:solidFill>
          </w14:textFill>
        </w:rPr>
        <w:t xml:space="preserve">18</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14</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30</w:t>
      </w:r>
      <w:r>
        <w:rPr>
          <w:rFonts w:hint="eastAsia" w:ascii="宋体" w:hAnsi="宋体" w:cs="宋体"/>
          <w:bCs/>
          <w:color w:val="000000" w:themeColor="text1"/>
          <w:sz w:val="24"/>
          <w:highlight w:val="none"/>
          <w14:textFill>
            <w14:solidFill>
              <w14:schemeClr w14:val="tx1"/>
            </w14:solidFill>
          </w14:textFill>
        </w:rPr>
        <w:t xml:space="preserve">（北京时间）</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（二）地点：</w:t>
      </w:r>
      <w:bookmarkStart w:id="41" w:name="OLE_LINK38"/>
      <w:r>
        <w:rPr>
          <w:rFonts w:hint="eastAsia" w:ascii="宋体" w:hAnsi="宋体" w:cs="宋体"/>
          <w:color w:val="000000" w:themeColor="text1"/>
          <w:sz w:val="24"/>
          <w:highlight w:val="none"/>
          <w14:textFill>
            <w14:solidFill>
              <w14:schemeClr w14:val="tx1"/>
            </w14:solidFill>
          </w14:textFill>
        </w:rPr>
        <w:t xml:space="preserve">“苏采云”政府采购交易系统</w:t>
      </w:r>
      <w:bookmarkEnd w:id="41"/>
      <w:r/>
      <w:r/>
    </w:p>
    <w:p>
      <w:pPr>
        <w:ind w:firstLine="482"/>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五、公告期限：</w:t>
      </w:r>
      <w:r>
        <w:rPr>
          <w:rFonts w:hint="eastAsia" w:ascii="宋体" w:hAnsi="宋体" w:cs="宋体"/>
          <w:color w:val="000000" w:themeColor="text1"/>
          <w:sz w:val="24"/>
          <w:highlight w:val="none"/>
          <w14:textFill>
            <w14:solidFill>
              <w14:schemeClr w14:val="tx1"/>
            </w14:solidFill>
          </w14:textFill>
        </w:rPr>
        <w:t xml:space="preserve">自本公告发布之日起5个工作日。</w:t>
      </w:r>
      <w:r>
        <w:rPr>
          <w:rFonts w:hint="eastAsia" w:ascii="宋体" w:hAnsi="宋体" w:cs="宋体"/>
          <w:bCs/>
          <w:color w:val="000000" w:themeColor="text1"/>
          <w:sz w:val="24"/>
          <w:highlight w:val="none"/>
          <w14:textFill>
            <w14:solidFill>
              <w14:schemeClr w14:val="tx1"/>
            </w14:solidFill>
          </w14:textFill>
        </w:rPr>
        <w:t xml:space="preserve"> </w:t>
      </w:r>
      <w:r/>
    </w:p>
    <w:p>
      <w:pPr>
        <w:ind w:firstLine="482"/>
        <w:spacing w:line="440" w:lineRule="exact"/>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六、其他补充事宜</w:t>
      </w:r>
      <w:r/>
    </w:p>
    <w:p>
      <w:pPr>
        <w:ind w:firstLine="480"/>
        <w:spacing w:line="440" w:lineRule="exact"/>
        <w:widowControl/>
        <w:rPr>
          <w:rFonts w:ascii="宋体" w:hAnsi="宋体" w:cs="宋体"/>
          <w:color w:val="000000" w:themeColor="text1"/>
          <w:sz w:val="24"/>
          <w:highlight w:val="none"/>
          <w14:textFill>
            <w14:solidFill>
              <w14:schemeClr w14:val="tx1"/>
            </w14:solidFill>
          </w14:textFill>
        </w:rPr>
      </w:pPr>
      <w:r/>
      <w:bookmarkStart w:id="42" w:name="OLE_LINK39"/>
      <w:r>
        <w:rPr>
          <w:rFonts w:hint="eastAsia" w:ascii="宋体" w:hAnsi="宋体" w:cs="宋体"/>
          <w:color w:val="000000" w:themeColor="text1"/>
          <w:sz w:val="24"/>
          <w:highlight w:val="none"/>
          <w14:textFill>
            <w14:solidFill>
              <w14:schemeClr w14:val="tx1"/>
            </w14:solidFill>
          </w14:textFill>
        </w:rPr>
        <w:t xml:space="preserve">（一）本次招标</w:t>
      </w:r>
      <w:r>
        <w:rPr>
          <w:rFonts w:hint="eastAsia" w:ascii="宋体" w:hAnsi="宋体" w:cs="宋体"/>
          <w:color w:val="000000" w:themeColor="text1"/>
          <w:sz w:val="24"/>
          <w:highlight w:val="none"/>
          <w:u w:val="single"/>
          <w14:textFill>
            <w14:solidFill>
              <w14:schemeClr w14:val="tx1"/>
            </w14:solidFill>
          </w14:textFill>
        </w:rPr>
        <w:t xml:space="preserve">不收取</w:t>
      </w:r>
      <w:r>
        <w:rPr>
          <w:rFonts w:hint="eastAsia" w:ascii="宋体" w:hAnsi="宋体" w:cs="宋体"/>
          <w:color w:val="000000" w:themeColor="text1"/>
          <w:sz w:val="24"/>
          <w:highlight w:val="none"/>
          <w14:textFill>
            <w14:solidFill>
              <w14:schemeClr w14:val="tx1"/>
            </w14:solidFill>
          </w14:textFill>
        </w:rPr>
        <w:t xml:space="preserve">投标保证金；</w:t>
      </w:r>
      <w:r/>
    </w:p>
    <w:p>
      <w:pPr>
        <w:ind w:firstLine="480"/>
        <w:spacing w:line="440" w:lineRule="exact"/>
        <w:widowControl/>
        <w:rPr>
          <w:rFonts w:ascii="宋体" w:hAnsi="宋体" w:cs="宋体"/>
          <w:color w:val="000000" w:themeColor="text1"/>
          <w:sz w:val="24"/>
          <w:highlight w:val="none"/>
          <w14:textFill>
            <w14:solidFill>
              <w14:schemeClr w14:val="tx1"/>
            </w14:solidFill>
          </w14:textFill>
        </w:rPr>
      </w:pPr>
      <w:r/>
      <w:bookmarkStart w:id="43" w:name="_Hlk196927902"/>
      <w:r/>
      <w:bookmarkStart w:id="44" w:name="_Hlk171011619"/>
      <w:r>
        <w:rPr>
          <w:rFonts w:hint="eastAsia" w:ascii="宋体" w:hAnsi="宋体" w:cs="宋体"/>
          <w:color w:val="000000" w:themeColor="text1"/>
          <w:sz w:val="24"/>
          <w:highlight w:val="none"/>
          <w14:textFill>
            <w14:solidFill>
              <w14:schemeClr w14:val="tx1"/>
            </w14:solidFill>
          </w14:textFill>
        </w:rPr>
        <w:t xml:space="preserve">（二）公告发布媒体：本项目相关公告在</w:t>
      </w:r>
      <w:bookmarkEnd w:id="43"/>
      <w:r/>
      <w:bookmarkStart w:id="45" w:name="_Hlk196927919"/>
      <w:r>
        <w:rPr>
          <w:rFonts w:hint="eastAsia" w:ascii="宋体" w:hAnsi="宋体" w:cs="宋体"/>
          <w:color w:val="000000" w:themeColor="text1"/>
          <w:sz w:val="24"/>
          <w:highlight w:val="none"/>
          <w14:textFill>
            <w14:solidFill>
              <w14:schemeClr w14:val="tx1"/>
            </w14:solidFill>
          </w14:textFill>
        </w:rPr>
        <w:t xml:space="preserve">“江苏政府采购网”发布，</w:t>
      </w:r>
      <w:bookmarkEnd w:id="45"/>
      <w:r>
        <w:rPr>
          <w:rFonts w:hint="eastAsia" w:ascii="宋体" w:hAnsi="宋体" w:cs="宋体"/>
          <w:color w:val="000000" w:themeColor="text1"/>
          <w:sz w:val="24"/>
          <w:highlight w:val="none"/>
          <w14:textFill>
            <w14:solidFill>
              <w14:schemeClr w14:val="tx1"/>
            </w14:solidFill>
          </w14:textFill>
        </w:rPr>
        <w:t xml:space="preserve">有关本次招标的事项若存在变动或修改，敬请及时关注江苏建威建设管理有限公司在</w:t>
      </w:r>
      <w:bookmarkStart w:id="46" w:name="_Hlk196927960"/>
      <w:r>
        <w:rPr>
          <w:rFonts w:hint="eastAsia" w:ascii="宋体" w:hAnsi="宋体" w:cs="宋体"/>
          <w:color w:val="000000" w:themeColor="text1"/>
          <w:sz w:val="24"/>
          <w:highlight w:val="none"/>
          <w14:textFill>
            <w14:solidFill>
              <w14:schemeClr w14:val="tx1"/>
            </w14:solidFill>
          </w14:textFill>
        </w:rPr>
        <w:t xml:space="preserve">该媒体上发布的更正公告</w:t>
      </w:r>
      <w:bookmarkEnd w:id="46"/>
      <w:r>
        <w:rPr>
          <w:rFonts w:hint="eastAsia" w:ascii="宋体" w:hAnsi="宋体" w:cs="宋体"/>
          <w:color w:val="000000" w:themeColor="text1"/>
          <w:sz w:val="24"/>
          <w:highlight w:val="none"/>
          <w14:textFill>
            <w14:solidFill>
              <w14:schemeClr w14:val="tx1"/>
            </w14:solidFill>
          </w14:textFill>
        </w:rPr>
        <w:t xml:space="preserve">； </w:t>
      </w:r>
      <w:bookmarkEnd w:id="44"/>
      <w:r/>
    </w:p>
    <w:p>
      <w:pPr>
        <w:ind w:firstLine="480"/>
        <w:jc w:val="left"/>
        <w:spacing w:line="440" w:lineRule="exact"/>
        <w:tabs>
          <w:tab w:val="left" w:pos="90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w:t>
      </w:r>
      <w:r>
        <w:rPr>
          <w:rFonts w:hint="eastAsia" w:ascii="宋体" w:hAnsi="宋体" w:cs="宋体"/>
          <w:bCs/>
          <w:color w:val="000000" w:themeColor="text1"/>
          <w:sz w:val="24"/>
          <w:highlight w:val="none"/>
          <w14:textFill>
            <w14:solidFill>
              <w14:schemeClr w14:val="tx1"/>
            </w14:solidFill>
          </w14:textFill>
        </w:rPr>
        <w:t xml:space="preserve">根据省财政厅《关于更换全省政府采购交易系统CA数字证书和电子签章的通知》（苏财购〔2023〕101号），</w:t>
      </w:r>
      <w:r>
        <w:rPr>
          <w:rFonts w:hint="eastAsia" w:ascii="宋体" w:hAnsi="宋体" w:cs="宋体"/>
          <w:color w:val="000000" w:themeColor="text1"/>
          <w:sz w:val="24"/>
          <w:highlight w:val="none"/>
          <w14:textFill>
            <w14:solidFill>
              <w14:schemeClr w14:val="tx1"/>
            </w14:solidFill>
          </w14:textFill>
        </w:rPr>
        <w:t xml:space="preserve">“苏采云”政府采购交易系统（以下简称苏采云系统）</w:t>
      </w:r>
      <w:r>
        <w:rPr>
          <w:rFonts w:hint="eastAsia" w:ascii="宋体" w:hAnsi="宋体" w:cs="宋体"/>
          <w:bCs/>
          <w:color w:val="000000" w:themeColor="text1"/>
          <w:sz w:val="24"/>
          <w:highlight w:val="none"/>
          <w14:textFill>
            <w14:solidFill>
              <w14:schemeClr w14:val="tx1"/>
            </w14:solidFill>
          </w14:textFill>
        </w:rPr>
        <w:t xml:space="preserve">的CA数字证书、电子签章已更换为江苏省电子政务证书认证中心CA和方正国际软件（北京）有限公司电子签章。如果投标人通过</w:t>
      </w:r>
      <w:r>
        <w:rPr>
          <w:rFonts w:hint="eastAsia" w:ascii="宋体" w:hAnsi="宋体" w:cs="宋体"/>
          <w:color w:val="000000" w:themeColor="text1"/>
          <w:sz w:val="24"/>
          <w:highlight w:val="none"/>
          <w14:textFill>
            <w14:solidFill>
              <w14:schemeClr w14:val="tx1"/>
            </w14:solidFill>
          </w14:textFill>
        </w:rPr>
        <w:t xml:space="preserve">苏采云系统</w:t>
      </w:r>
      <w:r>
        <w:rPr>
          <w:rFonts w:hint="eastAsia" w:ascii="宋体" w:hAnsi="宋体" w:cs="宋体"/>
          <w:bCs/>
          <w:color w:val="000000" w:themeColor="text1"/>
          <w:sz w:val="24"/>
          <w:highlight w:val="none"/>
          <w14:textFill>
            <w14:solidFill>
              <w14:schemeClr w14:val="tx1"/>
            </w14:solidFill>
          </w14:textFill>
        </w:rPr>
        <w:t xml:space="preserve">参与政府采购项目，需要更换CA数字证书和电子签章。具体办理指南和操作手册见链接：http://www.ccgp-jiangsu.gov.cn/jiangsu/zlxz/ee/ee3a4bc5a3454aa2b0d9312230633ce9.html。</w:t>
      </w:r>
      <w:r/>
    </w:p>
    <w:p>
      <w:pPr>
        <w:ind w:firstLine="480"/>
        <w:spacing w:line="440" w:lineRule="exact"/>
        <w:tabs>
          <w:tab w:val="left" w:pos="90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80"/>
        <w:spacing w:line="440" w:lineRule="exact"/>
        <w:tabs>
          <w:tab w:val="left" w:pos="90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如果“江苏政府采购网”（www.ccgp-jiangsu.gov.cn）信息与“江苏政务服务网” （www.jszwfw.gov.cn），“一企来办”专栏下“政府采购”模块中信息不一致，以“江苏政府采购网”信息为准。</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w:t>
      </w:r>
      <w:bookmarkStart w:id="47" w:name="_Hlk172038204"/>
      <w:r/>
      <w:bookmarkStart w:id="48" w:name="_Hlk65067909"/>
      <w:r>
        <w:rPr>
          <w:rFonts w:hint="eastAsia" w:ascii="宋体" w:hAnsi="宋体" w:cs="宋体"/>
          <w:color w:val="000000" w:themeColor="text1"/>
          <w:sz w:val="24"/>
          <w:highlight w:val="none"/>
          <w14:textFill>
            <w14:solidFill>
              <w14:schemeClr w14:val="tx1"/>
            </w14:solidFill>
          </w14:textFill>
        </w:rPr>
        <w:t xml:space="preserve">本项目统一现场勘察： </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勘察时间：2026年08月</w:t>
      </w:r>
      <w:r>
        <w:rPr>
          <w:rFonts w:hint="eastAsia" w:ascii="宋体" w:hAnsi="宋体" w:cs="宋体"/>
          <w:color w:val="000000" w:themeColor="text1"/>
          <w:sz w:val="24"/>
          <w:highlight w:val="none"/>
          <w:lang w:val="en-US" w:eastAsia="zh-CN"/>
          <w14:textFill>
            <w14:solidFill>
              <w14:schemeClr w14:val="tx1"/>
            </w14:solidFill>
          </w14:textFill>
        </w:rPr>
        <w:t xml:space="preserve">06</w:t>
      </w:r>
      <w:r>
        <w:rPr>
          <w:rFonts w:hint="eastAsia" w:ascii="宋体" w:hAnsi="宋体" w:cs="宋体"/>
          <w:color w:val="000000" w:themeColor="text1"/>
          <w:sz w:val="24"/>
          <w:highlight w:val="none"/>
          <w14:textFill>
            <w14:solidFill>
              <w14:schemeClr w14:val="tx1"/>
            </w14:solidFill>
          </w14:textFill>
        </w:rPr>
        <w:t xml:space="preserve">日，上午09：30</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勘察地址：镇江市丹徒区长香西大道500号江苏省交通技师学院信息中心</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联系人（联系电话）：曾老师</w:t>
      </w:r>
      <w:r>
        <w:rPr>
          <w:rFonts w:hint="eastAsia" w:ascii="宋体" w:hAnsi="宋体" w:cs="宋体"/>
          <w:color w:val="000000" w:themeColor="text1"/>
          <w:sz w:val="24"/>
          <w:highlight w:val="none"/>
          <w:lang w:eastAsia="zh-CN"/>
          <w14:textFill>
            <w14:solidFill>
              <w14:schemeClr w14:val="tx1"/>
            </w14:solidFill>
          </w14:textFill>
        </w:rPr>
        <w:t xml:space="preserve">，0511-83821005</w:t>
      </w:r>
      <w:r>
        <w:rPr>
          <w:rFonts w:hint="eastAsia" w:ascii="宋体" w:hAnsi="宋体" w:cs="宋体"/>
          <w:color w:val="000000" w:themeColor="text1"/>
          <w:sz w:val="24"/>
          <w:highlight w:val="none"/>
          <w14:textFill>
            <w14:solidFill>
              <w14:schemeClr w14:val="tx1"/>
            </w14:solidFill>
          </w14:textFill>
        </w:rPr>
        <w:t xml:space="preserve"> </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各潜在投标供应商需准时到达指定勘察现场，供应商代表应持本人身份证、携带企业法人营业执照复印件（加盖企业公章）、法人授权委托书。供应商需务必对项目现场和周围环境进行仔细认真地查勘，在随后的采购中，对现场资料和数据所作出的推论、解释和结论及由此造成的后果由供应商负责。</w:t>
      </w:r>
      <w:bookmarkEnd w:id="42"/>
      <w:r/>
      <w:bookmarkEnd w:id="47"/>
      <w:bookmarkEnd w:id="48"/>
      <w:r/>
    </w:p>
    <w:p>
      <w:pPr>
        <w:ind w:firstLine="482"/>
        <w:spacing w:line="440" w:lineRule="exact"/>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七、本次招标联系方式</w:t>
      </w:r>
      <w:bookmarkEnd w:id="15"/>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bookmarkStart w:id="49" w:name="_Toc120614211"/>
      <w:r/>
      <w:bookmarkStart w:id="50" w:name="_Toc8485111"/>
      <w:r>
        <w:rPr>
          <w:rFonts w:hint="eastAsia" w:ascii="宋体" w:hAnsi="宋体" w:cs="宋体"/>
          <w:color w:val="000000" w:themeColor="text1"/>
          <w:sz w:val="24"/>
          <w:highlight w:val="none"/>
          <w14:textFill>
            <w14:solidFill>
              <w14:schemeClr w14:val="tx1"/>
            </w14:solidFill>
          </w14:textFill>
        </w:rPr>
        <w:t xml:space="preserve">（一）采购人信息</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 称：江苏省交通技师学院</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址：江苏省镇江市丹徒区长香西大道500号</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联系人：曾老师</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w:t>
      </w:r>
      <w:bookmarkStart w:id="51" w:name="_Toc28359009"/>
      <w:r/>
      <w:bookmarkStart w:id="52" w:name="_Toc28359086"/>
      <w:r>
        <w:rPr>
          <w:rFonts w:hint="eastAsia" w:ascii="宋体" w:hAnsi="宋体" w:cs="宋体"/>
          <w:color w:val="000000" w:themeColor="text1"/>
          <w:sz w:val="24"/>
          <w:highlight w:val="none"/>
          <w14:textFill>
            <w14:solidFill>
              <w14:schemeClr w14:val="tx1"/>
            </w14:solidFill>
          </w14:textFill>
        </w:rPr>
        <w:t xml:space="preserve">0511-83821005</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（二）采购代理机构信息</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名称：江苏建威建设管理有限公司</w:t>
      </w:r>
      <w:bookmarkEnd w:id="51"/>
      <w:r/>
      <w:bookmarkEnd w:id="52"/>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址：南京市鼓楼区芦席营68号南汽大厦七层</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联系人：武立奎</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w:t>
      </w:r>
      <w:bookmarkStart w:id="53" w:name="_Toc28359087"/>
      <w:r/>
      <w:bookmarkStart w:id="54" w:name="_Toc28359010"/>
      <w:r>
        <w:rPr>
          <w:rFonts w:hint="eastAsia" w:ascii="宋体" w:hAnsi="宋体" w:cs="宋体"/>
          <w:color w:val="000000" w:themeColor="text1"/>
          <w:sz w:val="24"/>
          <w:highlight w:val="none"/>
          <w14:textFill>
            <w14:solidFill>
              <w14:schemeClr w14:val="tx1"/>
            </w14:solidFill>
          </w14:textFill>
        </w:rPr>
        <w:t xml:space="preserve">18944066163</w:t>
      </w:r>
      <w:bookmarkEnd w:id="53"/>
      <w:bookmarkEnd w:id="54"/>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（三）项目联系方式</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项目联系人：武立奎</w:t>
      </w:r>
      <w:r/>
    </w:p>
    <w:p>
      <w:pPr>
        <w:ind w:firstLine="480"/>
        <w:spacing w:line="360" w:lineRule="auto"/>
        <w:tabs>
          <w:tab w:val="left" w:pos="90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联系电话：18944066163</w:t>
      </w:r>
      <w:r/>
    </w:p>
    <w:p>
      <w:pPr>
        <w:pStyle w:val="845"/>
        <w:jc w:val="center"/>
        <w:spacing w:before="286" w:after="286"/>
        <w:rPr>
          <w:rFonts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br w:type="page" w:clear="all"/>
      </w:r>
      <w:bookmarkStart w:id="55" w:name="_Toc226126993"/>
      <w:r/>
      <w:bookmarkStart w:id="56" w:name="_Toc9363425"/>
      <w:r/>
      <w:bookmarkStart w:id="57" w:name="_Toc12887260"/>
      <w:r/>
      <w:bookmarkStart w:id="58" w:name="_Toc12708970"/>
      <w:r>
        <w:rPr>
          <w:rFonts w:hint="eastAsia" w:ascii="宋体" w:hAnsi="宋体" w:eastAsia="宋体" w:cs="宋体"/>
          <w:b/>
          <w:bCs/>
          <w:color w:val="000000" w:themeColor="text1"/>
          <w:sz w:val="36"/>
          <w:szCs w:val="36"/>
          <w:highlight w:val="none"/>
          <w14:textFill>
            <w14:solidFill>
              <w14:schemeClr w14:val="tx1"/>
            </w14:solidFill>
          </w14:textFill>
        </w:rPr>
        <w:t xml:space="preserve">第二章</w:t>
      </w:r>
      <w:bookmarkEnd w:id="4"/>
      <w:r/>
      <w:bookmarkEnd w:id="5"/>
      <w:r/>
      <w:bookmarkEnd w:id="6"/>
      <w:r/>
      <w:bookmarkEnd w:id="7"/>
      <w:r/>
      <w:bookmarkEnd w:id="8"/>
      <w:r/>
      <w:bookmarkEnd w:id="49"/>
      <w:r/>
      <w:bookmarkStart w:id="59" w:name="_Toc20823274"/>
      <w:r/>
      <w:bookmarkStart w:id="60" w:name="_Toc513029202"/>
      <w:r/>
      <w:bookmarkStart w:id="61" w:name="_Toc16938518"/>
      <w:r/>
      <w:bookmarkStart w:id="62" w:name="_Toc120614213"/>
      <w:r>
        <w:rPr>
          <w:rFonts w:hint="eastAsia" w:ascii="宋体" w:hAnsi="宋体" w:eastAsia="宋体" w:cs="宋体"/>
          <w:b/>
          <w:bCs/>
          <w:color w:val="000000" w:themeColor="text1"/>
          <w:sz w:val="36"/>
          <w:szCs w:val="36"/>
          <w:highlight w:val="none"/>
          <w14:textFill>
            <w14:solidFill>
              <w14:schemeClr w14:val="tx1"/>
            </w14:solidFill>
          </w14:textFill>
        </w:rPr>
        <w:t xml:space="preserve"> 投标人须知</w:t>
      </w:r>
      <w:bookmarkEnd w:id="50"/>
      <w:r/>
      <w:bookmarkEnd w:id="55"/>
      <w:r/>
      <w:bookmarkEnd w:id="56"/>
      <w:r/>
      <w:bookmarkEnd w:id="57"/>
      <w:r/>
      <w:bookmarkEnd w:id="58"/>
      <w:r/>
      <w:bookmarkEnd w:id="59"/>
      <w:r/>
      <w:bookmarkEnd w:id="60"/>
      <w:r/>
      <w:bookmarkEnd w:id="61"/>
      <w:r/>
      <w:bookmarkEnd w:id="62"/>
      <w:r/>
      <w:r/>
    </w:p>
    <w:p>
      <w:pPr>
        <w:pStyle w:val="846"/>
        <w:spacing w:before="429" w:after="143" w:line="400" w:lineRule="exact"/>
        <w:rPr>
          <w:rFonts w:ascii="宋体" w:hAnsi="宋体" w:eastAsia="宋体" w:cs="宋体"/>
          <w:color w:val="000000" w:themeColor="text1"/>
          <w:sz w:val="32"/>
          <w:szCs w:val="32"/>
          <w:highlight w:val="none"/>
          <w:lang w:eastAsia="zh-CN"/>
          <w14:textFill>
            <w14:solidFill>
              <w14:schemeClr w14:val="tx1"/>
            </w14:solidFill>
          </w14:textFill>
        </w:rPr>
      </w:pPr>
      <w:r/>
      <w:bookmarkStart w:id="63" w:name="_Toc12708971"/>
      <w:r/>
      <w:bookmarkStart w:id="64" w:name="_Toc8485112"/>
      <w:r/>
      <w:bookmarkStart w:id="65" w:name="_Toc120614214"/>
      <w:r/>
      <w:bookmarkStart w:id="66" w:name="_Toc16938519"/>
      <w:r/>
      <w:bookmarkStart w:id="67" w:name="_Toc226126994"/>
      <w:r/>
      <w:bookmarkStart w:id="68" w:name="_Toc20823275"/>
      <w:r/>
      <w:bookmarkStart w:id="69" w:name="_Toc12887261"/>
      <w:r/>
      <w:bookmarkStart w:id="70" w:name="_Toc513029203"/>
      <w:r/>
      <w:bookmarkStart w:id="71" w:name="_Toc9363426"/>
      <w:r/>
      <w:bookmarkStart w:id="72" w:name="_Hlk198053487"/>
      <w:r>
        <w:rPr>
          <w:rFonts w:hint="eastAsia" w:ascii="宋体" w:hAnsi="宋体" w:eastAsia="宋体" w:cs="宋体"/>
          <w:color w:val="000000" w:themeColor="text1"/>
          <w:sz w:val="32"/>
          <w:szCs w:val="32"/>
          <w:highlight w:val="none"/>
          <w:lang w:eastAsia="zh-CN"/>
          <w14:textFill>
            <w14:solidFill>
              <w14:schemeClr w14:val="tx1"/>
            </w14:solidFill>
          </w14:textFill>
        </w:rPr>
        <w:t xml:space="preserve">一、总 则</w:t>
      </w:r>
      <w:bookmarkEnd w:id="63"/>
      <w:r/>
      <w:bookmarkEnd w:id="64"/>
      <w:r/>
      <w:bookmarkEnd w:id="65"/>
      <w:r/>
      <w:bookmarkEnd w:id="66"/>
      <w:r/>
      <w:bookmarkEnd w:id="67"/>
      <w:r/>
      <w:bookmarkEnd w:id="68"/>
      <w:r/>
      <w:bookmarkEnd w:id="69"/>
      <w:r/>
      <w:bookmarkEnd w:id="70"/>
      <w:r/>
      <w:bookmarkEnd w:id="71"/>
      <w:r/>
      <w:r/>
    </w:p>
    <w:p>
      <w:pPr>
        <w:pStyle w:val="848"/>
        <w:spacing w:before="57" w:after="0" w:line="400" w:lineRule="exact"/>
        <w:rPr>
          <w:rFonts w:ascii="宋体" w:hAnsi="宋体" w:cs="宋体"/>
          <w:color w:val="000000" w:themeColor="text1"/>
          <w:sz w:val="24"/>
          <w:szCs w:val="24"/>
          <w:highlight w:val="none"/>
          <w:lang w:eastAsia="zh-CN"/>
          <w14:textFill>
            <w14:solidFill>
              <w14:schemeClr w14:val="tx1"/>
            </w14:solidFill>
          </w14:textFill>
        </w:rPr>
      </w:pPr>
      <w:r/>
      <w:bookmarkStart w:id="73" w:name="_Hlt16619475"/>
      <w:r/>
      <w:bookmarkEnd w:id="73"/>
      <w:r/>
      <w:bookmarkStart w:id="74" w:name="_Toc458694821"/>
      <w:r/>
      <w:bookmarkStart w:id="75" w:name="_Toc513029204"/>
      <w:r/>
      <w:bookmarkStart w:id="76" w:name="_Toc16938520"/>
      <w:r/>
      <w:bookmarkStart w:id="77" w:name="_Toc20823276"/>
      <w:r>
        <w:rPr>
          <w:rFonts w:hint="eastAsia" w:ascii="宋体" w:hAnsi="宋体" w:cs="宋体"/>
          <w:color w:val="000000" w:themeColor="text1"/>
          <w:sz w:val="24"/>
          <w:szCs w:val="24"/>
          <w:highlight w:val="none"/>
          <w:lang w:eastAsia="zh-CN"/>
          <w14:textFill>
            <w14:solidFill>
              <w14:schemeClr w14:val="tx1"/>
            </w14:solidFill>
          </w14:textFill>
        </w:rPr>
        <w:t xml:space="preserve">1</w:t>
      </w:r>
      <w:bookmarkEnd w:id="74"/>
      <w:r>
        <w:rPr>
          <w:rFonts w:hint="eastAsia" w:ascii="宋体" w:hAnsi="宋体" w:cs="宋体"/>
          <w:color w:val="000000" w:themeColor="text1"/>
          <w:sz w:val="24"/>
          <w:szCs w:val="24"/>
          <w:highlight w:val="none"/>
          <w:lang w:eastAsia="zh-CN"/>
          <w14:textFill>
            <w14:solidFill>
              <w14:schemeClr w14:val="tx1"/>
            </w14:solidFill>
          </w14:textFill>
        </w:rPr>
        <w:t xml:space="preserve">、招标方式</w:t>
      </w:r>
      <w:bookmarkEnd w:id="75"/>
      <w:r/>
      <w:bookmarkEnd w:id="76"/>
      <w:r/>
      <w:bookmarkEnd w:id="77"/>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 本次招标采取公开招标方式，本招标文件仅适用于招标公告中所述项目。</w:t>
      </w:r>
      <w:r/>
    </w:p>
    <w:p>
      <w:pPr>
        <w:pStyle w:val="848"/>
        <w:spacing w:before="57" w:after="0" w:line="400" w:lineRule="exact"/>
        <w:rPr>
          <w:rFonts w:ascii="宋体" w:hAnsi="宋体" w:cs="宋体"/>
          <w:color w:val="000000" w:themeColor="text1"/>
          <w:sz w:val="24"/>
          <w:szCs w:val="24"/>
          <w:highlight w:val="none"/>
          <w:lang w:eastAsia="zh-CN"/>
          <w14:textFill>
            <w14:solidFill>
              <w14:schemeClr w14:val="tx1"/>
            </w14:solidFill>
          </w14:textFill>
        </w:rPr>
      </w:pPr>
      <w:r/>
      <w:bookmarkStart w:id="78" w:name="_Toc20823277"/>
      <w:r/>
      <w:bookmarkStart w:id="79" w:name="_Toc513029205"/>
      <w:r/>
      <w:bookmarkStart w:id="80" w:name="_Toc16938521"/>
      <w:r>
        <w:rPr>
          <w:rFonts w:hint="eastAsia" w:ascii="宋体" w:hAnsi="宋体" w:cs="宋体"/>
          <w:color w:val="000000" w:themeColor="text1"/>
          <w:sz w:val="24"/>
          <w:szCs w:val="24"/>
          <w:highlight w:val="none"/>
          <w:lang w:eastAsia="zh-CN"/>
          <w14:textFill>
            <w14:solidFill>
              <w14:schemeClr w14:val="tx1"/>
            </w14:solidFill>
          </w14:textFill>
        </w:rPr>
        <w:t xml:space="preserve">2、合格的投标人</w:t>
      </w:r>
      <w:bookmarkEnd w:id="78"/>
      <w:r/>
      <w:bookmarkEnd w:id="79"/>
      <w:r/>
      <w:bookmarkEnd w:id="80"/>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2.1满足招标公告中供应商的资格要求的规定。</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 满足本文件实质性要求的规定。</w:t>
      </w:r>
      <w:r/>
    </w:p>
    <w:p>
      <w:pPr>
        <w:pStyle w:val="848"/>
        <w:spacing w:before="57" w:after="0" w:line="400" w:lineRule="exact"/>
        <w:rPr>
          <w:rFonts w:ascii="宋体" w:hAnsi="宋体" w:cs="宋体"/>
          <w:color w:val="000000" w:themeColor="text1"/>
          <w:sz w:val="24"/>
          <w:szCs w:val="24"/>
          <w:highlight w:val="none"/>
          <w:lang w:eastAsia="zh-CN"/>
          <w14:textFill>
            <w14:solidFill>
              <w14:schemeClr w14:val="tx1"/>
            </w14:solidFill>
          </w14:textFill>
        </w:rPr>
      </w:pPr>
      <w:r/>
      <w:bookmarkStart w:id="81" w:name="_Toc20823278"/>
      <w:r/>
      <w:bookmarkStart w:id="82" w:name="_Toc16938522"/>
      <w:r/>
      <w:bookmarkStart w:id="83" w:name="_Toc513029206"/>
      <w:r>
        <w:rPr>
          <w:rFonts w:hint="eastAsia" w:ascii="宋体" w:hAnsi="宋体" w:cs="宋体"/>
          <w:color w:val="000000" w:themeColor="text1"/>
          <w:sz w:val="24"/>
          <w:szCs w:val="24"/>
          <w:highlight w:val="none"/>
          <w:lang w:eastAsia="zh-CN"/>
          <w14:textFill>
            <w14:solidFill>
              <w14:schemeClr w14:val="tx1"/>
            </w14:solidFill>
          </w14:textFill>
        </w:rPr>
        <w:t xml:space="preserve">3、适用法律</w:t>
      </w:r>
      <w:bookmarkEnd w:id="81"/>
      <w:r/>
      <w:bookmarkEnd w:id="82"/>
      <w:r/>
      <w:bookmarkEnd w:id="83"/>
      <w:r>
        <w:rPr>
          <w:rFonts w:hint="eastAsia" w:ascii="宋体" w:hAnsi="宋体" w:cs="宋体"/>
          <w:color w:val="000000" w:themeColor="text1"/>
          <w:sz w:val="24"/>
          <w:szCs w:val="24"/>
          <w:highlight w:val="none"/>
          <w:lang w:eastAsia="zh-CN"/>
          <w14:textFill>
            <w14:solidFill>
              <w14:schemeClr w14:val="tx1"/>
            </w14:solidFill>
          </w14:textFill>
        </w:rPr>
        <w:t xml:space="preserve">和标准</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 本次招标及由此产生的合同受中华人民共和国有关的法律法规制约和保护。</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 在本项目政府采购活动过程中，如果所执行的标准有更新的，按照最新标准执行。</w:t>
      </w:r>
      <w:r/>
    </w:p>
    <w:p>
      <w:pPr>
        <w:pStyle w:val="848"/>
        <w:spacing w:before="57" w:after="0" w:line="400" w:lineRule="exact"/>
        <w:rPr>
          <w:rFonts w:ascii="宋体" w:hAnsi="宋体" w:cs="宋体"/>
          <w:color w:val="000000" w:themeColor="text1"/>
          <w:sz w:val="24"/>
          <w:szCs w:val="24"/>
          <w:highlight w:val="none"/>
          <w:lang w:eastAsia="zh-CN"/>
          <w14:textFill>
            <w14:solidFill>
              <w14:schemeClr w14:val="tx1"/>
            </w14:solidFill>
          </w14:textFill>
        </w:rPr>
      </w:pPr>
      <w:r/>
      <w:bookmarkStart w:id="84" w:name="_Toc513029207"/>
      <w:r/>
      <w:bookmarkStart w:id="85" w:name="_Toc20823279"/>
      <w:r/>
      <w:bookmarkStart w:id="86" w:name="_Toc462564067"/>
      <w:r/>
      <w:bookmarkStart w:id="87" w:name="_Toc16938523"/>
      <w:r>
        <w:rPr>
          <w:rFonts w:hint="eastAsia" w:ascii="宋体" w:hAnsi="宋体" w:cs="宋体"/>
          <w:color w:val="000000" w:themeColor="text1"/>
          <w:sz w:val="24"/>
          <w:szCs w:val="24"/>
          <w:highlight w:val="none"/>
          <w:lang w:eastAsia="zh-CN"/>
          <w14:textFill>
            <w14:solidFill>
              <w14:schemeClr w14:val="tx1"/>
            </w14:solidFill>
          </w14:textFill>
        </w:rPr>
        <w:t xml:space="preserve">4、投标费用</w:t>
      </w:r>
      <w:bookmarkEnd w:id="84"/>
      <w:r/>
      <w:bookmarkEnd w:id="85"/>
      <w:r/>
      <w:bookmarkEnd w:id="86"/>
      <w:r/>
      <w:bookmarkEnd w:id="87"/>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4.1</w:t>
      </w:r>
      <w:r>
        <w:rPr>
          <w:rFonts w:hint="eastAsia" w:ascii="宋体" w:hAnsi="宋体" w:cs="宋体"/>
          <w:color w:val="000000" w:themeColor="text1"/>
          <w:sz w:val="24"/>
          <w:highlight w:val="none"/>
          <w14:textFill>
            <w14:solidFill>
              <w14:schemeClr w14:val="tx1"/>
            </w14:solidFill>
          </w14:textFill>
        </w:rPr>
        <w:t xml:space="preserve"> 投标人应自行承担所有与参加投标有关的费用，无论投标过程中的做法和结果如何，江苏建威建设管理有限公司（以下称代理机构）在任何情况下均无义务和责任承担这些费用。</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w:t>
      </w:r>
      <w:bookmarkStart w:id="88" w:name="OLE_LINK37"/>
      <w:r>
        <w:rPr>
          <w:rFonts w:hint="eastAsia" w:ascii="宋体" w:hAnsi="宋体" w:cs="宋体"/>
          <w:color w:val="000000" w:themeColor="text1"/>
          <w:sz w:val="24"/>
          <w:highlight w:val="none"/>
          <w14:textFill>
            <w14:solidFill>
              <w14:schemeClr w14:val="tx1"/>
            </w14:solidFill>
          </w14:textFill>
        </w:rPr>
        <w:t xml:space="preserve">本次招标收取代理服务费。</w:t>
      </w:r>
      <w:r>
        <w:rPr>
          <w:rFonts w:hint="eastAsia" w:ascii="宋体" w:hAnsi="宋体" w:cs="宋体"/>
          <w:b/>
          <w:bCs/>
          <w:color w:val="000000" w:themeColor="text1"/>
          <w:sz w:val="24"/>
          <w:highlight w:val="none"/>
          <w14:textFill>
            <w14:solidFill>
              <w14:schemeClr w14:val="tx1"/>
            </w14:solidFill>
          </w14:textFill>
        </w:rPr>
        <w:t xml:space="preserve">本项目代理服务费以中标金额为基础，参照“计价格[2002]1980号文件和发改委[2003]857号文件”收费标准的60%收取，如计算出的代理服务费低于5000元的，则按5000元收取。</w:t>
      </w:r>
      <w:bookmarkEnd w:id="88"/>
      <w:r>
        <w:rPr>
          <w:rFonts w:hint="eastAsia" w:ascii="宋体" w:hAnsi="宋体" w:cs="宋体"/>
          <w:color w:val="000000" w:themeColor="text1"/>
          <w:sz w:val="24"/>
          <w:highlight w:val="none"/>
          <w14:textFill>
            <w14:solidFill>
              <w14:schemeClr w14:val="tx1"/>
            </w14:solidFill>
          </w14:textFill>
        </w:rPr>
        <w:t xml:space="preserve">代理服务费由中标供应商在领取中标通知书时向代理机构缴纳。</w:t>
      </w:r>
      <w:r/>
    </w:p>
    <w:p>
      <w:pPr>
        <w:pStyle w:val="848"/>
        <w:spacing w:before="57" w:after="0" w:line="400" w:lineRule="exact"/>
        <w:rPr>
          <w:rFonts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5、招标文件的约束力</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5.1</w:t>
      </w:r>
      <w:r>
        <w:rPr>
          <w:rFonts w:hint="eastAsia" w:ascii="宋体" w:hAnsi="宋体" w:cs="宋体"/>
          <w:color w:val="000000" w:themeColor="text1"/>
          <w:sz w:val="24"/>
          <w:highlight w:val="none"/>
          <w14:textFill>
            <w14:solidFill>
              <w14:schemeClr w14:val="tx1"/>
            </w14:solidFill>
          </w14:textFill>
        </w:rPr>
        <w:t xml:space="preserve"> 投标人一旦参加本项目采购活动，即被认为接受了本招标文件的规定和约束。</w:t>
      </w:r>
      <w:r/>
    </w:p>
    <w:p>
      <w:pPr>
        <w:pStyle w:val="846"/>
        <w:spacing w:before="286" w:after="143" w:line="400" w:lineRule="exact"/>
        <w:rPr>
          <w:rFonts w:ascii="宋体" w:hAnsi="宋体" w:eastAsia="宋体" w:cs="宋体"/>
          <w:color w:val="000000" w:themeColor="text1"/>
          <w:sz w:val="32"/>
          <w:szCs w:val="32"/>
          <w:highlight w:val="none"/>
          <w:lang w:eastAsia="zh-CN"/>
          <w14:textFill>
            <w14:solidFill>
              <w14:schemeClr w14:val="tx1"/>
            </w14:solidFill>
          </w14:textFill>
        </w:rPr>
      </w:pPr>
      <w:r/>
      <w:bookmarkStart w:id="89" w:name="_Toc20823281"/>
      <w:r/>
      <w:bookmarkStart w:id="90" w:name="_Toc513029209"/>
      <w:r/>
      <w:bookmarkStart w:id="91" w:name="_Toc16938525"/>
      <w:r/>
      <w:bookmarkStart w:id="92" w:name="_Toc120614215"/>
      <w:r/>
      <w:bookmarkStart w:id="93" w:name="_Toc226126995"/>
      <w:r/>
      <w:bookmarkStart w:id="94" w:name="_Toc9363427"/>
      <w:r/>
      <w:bookmarkStart w:id="95" w:name="_Toc8485113"/>
      <w:r/>
      <w:bookmarkStart w:id="96" w:name="_Toc12708972"/>
      <w:r/>
      <w:bookmarkStart w:id="97" w:name="_Toc12887262"/>
      <w:r>
        <w:rPr>
          <w:rFonts w:hint="eastAsia" w:ascii="宋体" w:hAnsi="宋体" w:eastAsia="宋体" w:cs="宋体"/>
          <w:color w:val="000000" w:themeColor="text1"/>
          <w:sz w:val="32"/>
          <w:szCs w:val="32"/>
          <w:highlight w:val="none"/>
          <w:lang w:eastAsia="zh-CN"/>
          <w14:textFill>
            <w14:solidFill>
              <w14:schemeClr w14:val="tx1"/>
            </w14:solidFill>
          </w14:textFill>
        </w:rPr>
        <w:t xml:space="preserve">二、招标文件</w:t>
      </w:r>
      <w:bookmarkEnd w:id="89"/>
      <w:r/>
      <w:bookmarkEnd w:id="90"/>
      <w:r/>
      <w:bookmarkEnd w:id="91"/>
      <w:r/>
      <w:bookmarkEnd w:id="92"/>
      <w:r/>
      <w:bookmarkEnd w:id="93"/>
      <w:r/>
      <w:bookmarkEnd w:id="94"/>
      <w:r/>
      <w:bookmarkEnd w:id="95"/>
      <w:r/>
      <w:bookmarkEnd w:id="96"/>
      <w:r/>
      <w:bookmarkEnd w:id="97"/>
      <w:r/>
      <w:r/>
    </w:p>
    <w:p>
      <w:pPr>
        <w:pStyle w:val="848"/>
        <w:spacing w:before="57" w:after="0" w:line="400" w:lineRule="exact"/>
        <w:rPr>
          <w:rFonts w:ascii="宋体" w:hAnsi="宋体" w:cs="宋体"/>
          <w:color w:val="000000" w:themeColor="text1"/>
          <w:sz w:val="24"/>
          <w:szCs w:val="24"/>
          <w:highlight w:val="none"/>
          <w:lang w:eastAsia="zh-CN"/>
          <w14:textFill>
            <w14:solidFill>
              <w14:schemeClr w14:val="tx1"/>
            </w14:solidFill>
          </w14:textFill>
        </w:rPr>
      </w:pPr>
      <w:r/>
      <w:bookmarkStart w:id="98" w:name="_Toc20823282"/>
      <w:r/>
      <w:bookmarkStart w:id="99" w:name="_Toc513029210"/>
      <w:r/>
      <w:bookmarkStart w:id="100" w:name="_Toc16938526"/>
      <w:r>
        <w:rPr>
          <w:rFonts w:hint="eastAsia" w:ascii="宋体" w:hAnsi="宋体" w:cs="宋体"/>
          <w:color w:val="000000" w:themeColor="text1"/>
          <w:sz w:val="24"/>
          <w:szCs w:val="24"/>
          <w:highlight w:val="none"/>
          <w:lang w:eastAsia="zh-CN"/>
          <w14:textFill>
            <w14:solidFill>
              <w14:schemeClr w14:val="tx1"/>
            </w14:solidFill>
          </w14:textFill>
        </w:rPr>
        <w:t xml:space="preserve">6、招标文件构成</w:t>
      </w:r>
      <w:bookmarkEnd w:id="98"/>
      <w:r/>
      <w:bookmarkEnd w:id="99"/>
      <w:r/>
      <w:bookmarkEnd w:id="100"/>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6.1</w:t>
      </w:r>
      <w:r>
        <w:rPr>
          <w:rFonts w:hint="eastAsia" w:ascii="宋体" w:hAnsi="宋体" w:cs="宋体"/>
          <w:color w:val="000000" w:themeColor="text1"/>
          <w:sz w:val="24"/>
          <w:highlight w:val="none"/>
          <w14:textFill>
            <w14:solidFill>
              <w14:schemeClr w14:val="tx1"/>
            </w14:solidFill>
          </w14:textFill>
        </w:rPr>
        <w:t xml:space="preserve"> 招标文件由以下部分组成：</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6.1</w:t>
      </w:r>
      <w:r>
        <w:rPr>
          <w:rFonts w:hint="eastAsia" w:ascii="宋体" w:hAnsi="宋体" w:cs="宋体"/>
          <w:color w:val="000000" w:themeColor="text1"/>
          <w:sz w:val="24"/>
          <w:highlight w:val="none"/>
          <w14:textFill>
            <w14:solidFill>
              <w14:schemeClr w14:val="tx1"/>
            </w14:solidFill>
          </w14:textFill>
        </w:rPr>
        <w:t xml:space="preserve">.1投标邀请</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6.1</w:t>
      </w:r>
      <w:r>
        <w:rPr>
          <w:rFonts w:hint="eastAsia" w:ascii="宋体" w:hAnsi="宋体" w:cs="宋体"/>
          <w:color w:val="000000" w:themeColor="text1"/>
          <w:sz w:val="24"/>
          <w:highlight w:val="none"/>
          <w14:textFill>
            <w14:solidFill>
              <w14:schemeClr w14:val="tx1"/>
            </w14:solidFill>
          </w14:textFill>
        </w:rPr>
        <w:t xml:space="preserve">.2投标人须知</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6.1</w:t>
      </w:r>
      <w:r>
        <w:rPr>
          <w:rFonts w:hint="eastAsia" w:ascii="宋体" w:hAnsi="宋体" w:cs="宋体"/>
          <w:color w:val="000000" w:themeColor="text1"/>
          <w:sz w:val="24"/>
          <w:highlight w:val="none"/>
          <w14:textFill>
            <w14:solidFill>
              <w14:schemeClr w14:val="tx1"/>
            </w14:solidFill>
          </w14:textFill>
        </w:rPr>
        <w:t xml:space="preserve">.3合同文本</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6.1</w:t>
      </w:r>
      <w:r>
        <w:rPr>
          <w:rFonts w:hint="eastAsia" w:ascii="宋体" w:hAnsi="宋体" w:cs="宋体"/>
          <w:color w:val="000000" w:themeColor="text1"/>
          <w:sz w:val="24"/>
          <w:highlight w:val="none"/>
          <w14:textFill>
            <w14:solidFill>
              <w14:schemeClr w14:val="tx1"/>
            </w14:solidFill>
          </w14:textFill>
        </w:rPr>
        <w:t xml:space="preserve">.4项目需求</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6.1</w:t>
      </w:r>
      <w:r>
        <w:rPr>
          <w:rFonts w:hint="eastAsia" w:ascii="宋体" w:hAnsi="宋体" w:cs="宋体"/>
          <w:color w:val="000000" w:themeColor="text1"/>
          <w:sz w:val="24"/>
          <w:highlight w:val="none"/>
          <w14:textFill>
            <w14:solidFill>
              <w14:schemeClr w14:val="tx1"/>
            </w14:solidFill>
          </w14:textFill>
        </w:rPr>
        <w:t xml:space="preserve">.5评标方法与评标标准</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6.1</w:t>
      </w:r>
      <w:r>
        <w:rPr>
          <w:rFonts w:hint="eastAsia" w:ascii="宋体" w:hAnsi="宋体" w:cs="宋体"/>
          <w:color w:val="000000" w:themeColor="text1"/>
          <w:sz w:val="24"/>
          <w:highlight w:val="none"/>
          <w14:textFill>
            <w14:solidFill>
              <w14:schemeClr w14:val="tx1"/>
            </w14:solidFill>
          </w14:textFill>
        </w:rPr>
        <w:t xml:space="preserve">.6投标文件格式</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请仔细检查招标文件是否齐全，如有缺漏请立即与代理机构联系解决。</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6.2</w:t>
      </w:r>
      <w:r>
        <w:rPr>
          <w:rFonts w:hint="eastAsia" w:ascii="宋体" w:hAnsi="宋体" w:cs="宋体"/>
          <w:color w:val="000000" w:themeColor="text1"/>
          <w:sz w:val="24"/>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8"/>
        <w:spacing w:before="57" w:after="0" w:line="400" w:lineRule="exact"/>
        <w:rPr>
          <w:rFonts w:ascii="宋体" w:hAnsi="宋体" w:cs="宋体"/>
          <w:color w:val="000000" w:themeColor="text1"/>
          <w:sz w:val="24"/>
          <w:szCs w:val="24"/>
          <w:highlight w:val="none"/>
          <w:lang w:eastAsia="zh-CN"/>
          <w14:textFill>
            <w14:solidFill>
              <w14:schemeClr w14:val="tx1"/>
            </w14:solidFill>
          </w14:textFill>
        </w:rPr>
      </w:pPr>
      <w:r/>
      <w:bookmarkStart w:id="101" w:name="_Toc513029212"/>
      <w:r/>
      <w:bookmarkStart w:id="102" w:name="_Toc462564071"/>
      <w:r/>
      <w:bookmarkStart w:id="103" w:name="_Toc20823284"/>
      <w:r/>
      <w:bookmarkStart w:id="104" w:name="_Toc16938528"/>
      <w:r>
        <w:rPr>
          <w:rFonts w:hint="eastAsia" w:ascii="宋体" w:hAnsi="宋体" w:cs="宋体"/>
          <w:color w:val="000000" w:themeColor="text1"/>
          <w:sz w:val="24"/>
          <w:szCs w:val="24"/>
          <w:highlight w:val="none"/>
          <w:lang w:eastAsia="zh-CN"/>
          <w14:textFill>
            <w14:solidFill>
              <w14:schemeClr w14:val="tx1"/>
            </w14:solidFill>
          </w14:textFill>
        </w:rPr>
        <w:t xml:space="preserve">7、招标文件的修改</w:t>
      </w:r>
      <w:bookmarkEnd w:id="101"/>
      <w:r/>
      <w:bookmarkEnd w:id="102"/>
      <w:r/>
      <w:bookmarkEnd w:id="103"/>
      <w:r/>
      <w:bookmarkEnd w:id="104"/>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7.1</w:t>
      </w:r>
      <w:r>
        <w:rPr>
          <w:rFonts w:hint="eastAsia" w:ascii="宋体" w:hAnsi="宋体" w:cs="宋体"/>
          <w:color w:val="000000" w:themeColor="text1"/>
          <w:sz w:val="24"/>
          <w:highlight w:val="none"/>
          <w14:textFill>
            <w14:solidFill>
              <w14:schemeClr w14:val="tx1"/>
            </w14:solidFill>
          </w14:textFill>
        </w:rPr>
        <w:t xml:space="preserve"> 在投标截止时间前，代理机构可以对招标文件进行修改。</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7.2</w:t>
      </w:r>
      <w:r>
        <w:rPr>
          <w:rFonts w:hint="eastAsia" w:ascii="宋体" w:hAnsi="宋体" w:cs="宋体"/>
          <w:color w:val="000000" w:themeColor="text1"/>
          <w:sz w:val="24"/>
          <w:highlight w:val="none"/>
          <w14:textFill>
            <w14:solidFill>
              <w14:schemeClr w14:val="tx1"/>
            </w14:solidFill>
          </w14:textFill>
        </w:rPr>
        <w:t xml:space="preserve">代理机构有权按照法定的要求推迟投标截止日期和开标日期。</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7.3 </w:t>
      </w:r>
      <w:r>
        <w:rPr>
          <w:rFonts w:hint="eastAsia" w:ascii="宋体" w:hAnsi="宋体" w:cs="宋体"/>
          <w:color w:val="000000" w:themeColor="text1"/>
          <w:sz w:val="24"/>
          <w:highlight w:val="none"/>
          <w14:textFill>
            <w14:solidFill>
              <w14:schemeClr w14:val="tx1"/>
            </w14:solidFill>
          </w14:textFill>
        </w:rPr>
        <w:t xml:space="preserve">招标文件的修改将在本项目招标文件第一章规定的公告发布媒体上公布，补充文件将作为招标文件的组成部分，并对投标人具有约束力。</w:t>
      </w:r>
      <w:r/>
    </w:p>
    <w:p>
      <w:pPr>
        <w:pStyle w:val="846"/>
        <w:spacing w:before="286" w:after="143" w:line="400" w:lineRule="exact"/>
        <w:rPr>
          <w:rFonts w:ascii="宋体" w:hAnsi="宋体" w:eastAsia="宋体" w:cs="宋体"/>
          <w:color w:val="000000" w:themeColor="text1"/>
          <w:sz w:val="32"/>
          <w:szCs w:val="32"/>
          <w:highlight w:val="none"/>
          <w:lang w:eastAsia="zh-CN"/>
          <w14:textFill>
            <w14:solidFill>
              <w14:schemeClr w14:val="tx1"/>
            </w14:solidFill>
          </w14:textFill>
        </w:rPr>
      </w:pPr>
      <w:r/>
      <w:bookmarkStart w:id="105" w:name="_Toc12887263"/>
      <w:r/>
      <w:bookmarkStart w:id="106" w:name="_Toc226126996"/>
      <w:r/>
      <w:bookmarkStart w:id="107" w:name="_Toc20823285"/>
      <w:r/>
      <w:bookmarkStart w:id="108" w:name="_Toc12708973"/>
      <w:r/>
      <w:bookmarkStart w:id="109" w:name="_Toc16938529"/>
      <w:r/>
      <w:bookmarkStart w:id="110" w:name="_Toc513029213"/>
      <w:r/>
      <w:bookmarkStart w:id="111" w:name="_Toc462564072"/>
      <w:r/>
      <w:bookmarkStart w:id="112" w:name="_Toc9363428"/>
      <w:r/>
      <w:bookmarkStart w:id="113" w:name="_Toc8485114"/>
      <w:r/>
      <w:bookmarkStart w:id="114" w:name="_Toc120614216"/>
      <w:r>
        <w:rPr>
          <w:rFonts w:hint="eastAsia" w:ascii="宋体" w:hAnsi="宋体" w:eastAsia="宋体" w:cs="宋体"/>
          <w:color w:val="000000" w:themeColor="text1"/>
          <w:sz w:val="32"/>
          <w:szCs w:val="32"/>
          <w:highlight w:val="none"/>
          <w:lang w:eastAsia="zh-CN"/>
          <w14:textFill>
            <w14:solidFill>
              <w14:schemeClr w14:val="tx1"/>
            </w14:solidFill>
          </w14:textFill>
        </w:rPr>
        <w:t xml:space="preserve">三、投标文件的编制</w:t>
      </w:r>
      <w:bookmarkEnd w:id="105"/>
      <w:r/>
      <w:bookmarkEnd w:id="106"/>
      <w:r/>
      <w:bookmarkEnd w:id="107"/>
      <w:r/>
      <w:bookmarkEnd w:id="108"/>
      <w:r/>
      <w:bookmarkEnd w:id="109"/>
      <w:r/>
      <w:bookmarkEnd w:id="110"/>
      <w:r/>
      <w:bookmarkEnd w:id="111"/>
      <w:r/>
      <w:bookmarkEnd w:id="112"/>
      <w:r/>
      <w:bookmarkEnd w:id="113"/>
      <w:r/>
      <w:bookmarkEnd w:id="114"/>
      <w:r/>
      <w:r/>
    </w:p>
    <w:p>
      <w:pPr>
        <w:pStyle w:val="848"/>
        <w:spacing w:before="57" w:after="0" w:line="400" w:lineRule="exact"/>
        <w:rPr>
          <w:rFonts w:ascii="宋体" w:hAnsi="宋体" w:cs="宋体"/>
          <w:bCs/>
          <w:color w:val="000000" w:themeColor="text1"/>
          <w:sz w:val="24"/>
          <w:szCs w:val="24"/>
          <w:highlight w:val="none"/>
          <w:lang w:eastAsia="zh-CN"/>
          <w14:textFill>
            <w14:solidFill>
              <w14:schemeClr w14:val="tx1"/>
            </w14:solidFill>
          </w14:textFill>
        </w:rPr>
      </w:pPr>
      <w:r/>
      <w:bookmarkStart w:id="115" w:name="_Toc462564073"/>
      <w:r/>
      <w:bookmarkStart w:id="116" w:name="_Toc16938530"/>
      <w:r/>
      <w:bookmarkStart w:id="117" w:name="_Toc20823286"/>
      <w:r/>
      <w:bookmarkStart w:id="118" w:name="_Toc513029214"/>
      <w:r>
        <w:rPr>
          <w:rFonts w:hint="eastAsia" w:ascii="宋体" w:hAnsi="宋体" w:cs="宋体"/>
          <w:color w:val="000000" w:themeColor="text1"/>
          <w:sz w:val="24"/>
          <w:szCs w:val="24"/>
          <w:highlight w:val="none"/>
          <w:lang w:eastAsia="zh-CN"/>
          <w14:textFill>
            <w14:solidFill>
              <w14:schemeClr w14:val="tx1"/>
            </w14:solidFill>
          </w14:textFill>
        </w:rPr>
        <w:t xml:space="preserve">8、投标文件的语言及度量衡单位</w:t>
      </w:r>
      <w:bookmarkEnd w:id="115"/>
      <w:r/>
      <w:bookmarkEnd w:id="116"/>
      <w:r/>
      <w:bookmarkEnd w:id="117"/>
      <w:r/>
      <w:bookmarkEnd w:id="118"/>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8.1</w:t>
      </w:r>
      <w:r>
        <w:rPr>
          <w:rFonts w:hint="eastAsia" w:ascii="宋体" w:hAnsi="宋体" w:cs="宋体"/>
          <w:color w:val="000000" w:themeColor="text1"/>
          <w:sz w:val="24"/>
          <w:highlight w:val="none"/>
          <w14:textFill>
            <w14:solidFill>
              <w14:schemeClr w14:val="tx1"/>
            </w14:solidFill>
          </w14:textFill>
        </w:rPr>
        <w:t xml:space="preserve"> 投标人提交的投标文件以及投标人与代理机构就有关投标的所有来往通知、函件和文件均应使用</w:t>
      </w:r>
      <w:r>
        <w:rPr>
          <w:rFonts w:hint="eastAsia" w:ascii="宋体" w:hAnsi="宋体" w:cs="宋体"/>
          <w:b/>
          <w:bCs/>
          <w:color w:val="000000" w:themeColor="text1"/>
          <w:sz w:val="24"/>
          <w:highlight w:val="none"/>
          <w14:textFill>
            <w14:solidFill>
              <w14:schemeClr w14:val="tx1"/>
            </w14:solidFill>
          </w14:textFill>
        </w:rPr>
        <w:t xml:space="preserve">简体中文</w:t>
      </w:r>
      <w:r>
        <w:rPr>
          <w:rFonts w:hint="eastAsia" w:ascii="宋体" w:hAnsi="宋体" w:cs="宋体"/>
          <w:color w:val="000000" w:themeColor="text1"/>
          <w:sz w:val="24"/>
          <w:highlight w:val="none"/>
          <w14:textFill>
            <w14:solidFill>
              <w14:schemeClr w14:val="tx1"/>
            </w14:solidFill>
          </w14:textFill>
        </w:rPr>
        <w:t xml:space="preserve">。</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8.2</w:t>
      </w:r>
      <w:r>
        <w:rPr>
          <w:rFonts w:hint="eastAsia" w:ascii="宋体" w:hAnsi="宋体" w:cs="宋体"/>
          <w:color w:val="000000" w:themeColor="text1"/>
          <w:sz w:val="24"/>
          <w:highlight w:val="none"/>
          <w14:textFill>
            <w14:solidFill>
              <w14:schemeClr w14:val="tx1"/>
            </w14:solidFill>
          </w14:textFill>
        </w:rPr>
        <w:t xml:space="preserve"> 除技术性能另有规定外，投标文件所使用的度量衡单位，均须采用国家法定计量单位。</w:t>
      </w:r>
      <w:r/>
    </w:p>
    <w:p>
      <w:pPr>
        <w:pStyle w:val="848"/>
        <w:spacing w:before="57" w:after="0" w:line="400" w:lineRule="exact"/>
        <w:rPr>
          <w:rFonts w:ascii="宋体" w:hAnsi="宋体" w:cs="宋体"/>
          <w:color w:val="000000" w:themeColor="text1"/>
          <w:sz w:val="24"/>
          <w:szCs w:val="24"/>
          <w:highlight w:val="none"/>
          <w:lang w:eastAsia="zh-CN"/>
          <w14:textFill>
            <w14:solidFill>
              <w14:schemeClr w14:val="tx1"/>
            </w14:solidFill>
          </w14:textFill>
        </w:rPr>
      </w:pPr>
      <w:r/>
      <w:bookmarkStart w:id="119" w:name="_Toc462564074"/>
      <w:r/>
      <w:bookmarkStart w:id="120" w:name="_Toc16938531"/>
      <w:r/>
      <w:bookmarkStart w:id="121" w:name="_Toc513029215"/>
      <w:r/>
      <w:bookmarkStart w:id="122" w:name="_Toc20823287"/>
      <w:r>
        <w:rPr>
          <w:rFonts w:hint="eastAsia" w:ascii="宋体" w:hAnsi="宋体" w:cs="宋体"/>
          <w:color w:val="000000" w:themeColor="text1"/>
          <w:sz w:val="24"/>
          <w:szCs w:val="24"/>
          <w:highlight w:val="none"/>
          <w:lang w:eastAsia="zh-CN"/>
          <w14:textFill>
            <w14:solidFill>
              <w14:schemeClr w14:val="tx1"/>
            </w14:solidFill>
          </w14:textFill>
        </w:rPr>
        <w:t xml:space="preserve">9、投标文件构成</w:t>
      </w:r>
      <w:bookmarkEnd w:id="119"/>
      <w:r/>
      <w:bookmarkEnd w:id="120"/>
      <w:r/>
      <w:bookmarkEnd w:id="121"/>
      <w:r/>
      <w:bookmarkEnd w:id="122"/>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9.1</w:t>
      </w:r>
      <w:r>
        <w:rPr>
          <w:rFonts w:hint="eastAsia" w:ascii="宋体" w:hAnsi="宋体" w:cs="宋体"/>
          <w:color w:val="000000" w:themeColor="text1"/>
          <w:sz w:val="24"/>
          <w:highlight w:val="none"/>
          <w14:textFill>
            <w14:solidFill>
              <w14:schemeClr w14:val="tx1"/>
            </w14:solidFill>
          </w14:textFill>
        </w:rPr>
        <w:t xml:space="preserve"> 投标人编写的投标文件应包括资格证明文件、实质性要求响应及偏离表、投标分项报价表、技术要求响应及偏离表、商务要求响应及偏离表、其他证明文件、投标函、开标一览表等部分。</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9.2</w:t>
      </w:r>
      <w:r>
        <w:rPr>
          <w:rFonts w:hint="eastAsia" w:ascii="宋体" w:hAnsi="宋体" w:cs="宋体"/>
          <w:b/>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如标书制作工具中格式和内容与“江苏政府采购网”下载的招标文件不一致，请以“江苏政府采购网”下载的招标文件为准。</w:t>
      </w:r>
      <w:r/>
    </w:p>
    <w:p>
      <w:pPr>
        <w:spacing w:before="57" w:line="400" w:lineRule="exact"/>
        <w:rPr>
          <w:rFonts w:ascii="宋体" w:hAnsi="宋体" w:cs="宋体"/>
          <w:color w:val="000000" w:themeColor="text1"/>
          <w:sz w:val="24"/>
          <w:highlight w:val="none"/>
          <w14:textFill>
            <w14:solidFill>
              <w14:schemeClr w14:val="tx1"/>
            </w14:solidFill>
          </w14:textFill>
        </w:rPr>
      </w:pPr>
      <w:r/>
      <w:bookmarkStart w:id="123" w:name="_Hlt26670360"/>
      <w:r/>
      <w:bookmarkEnd w:id="123"/>
      <w:r/>
      <w:bookmarkStart w:id="124" w:name="_Hlt26954838"/>
      <w:r/>
      <w:bookmarkEnd w:id="124"/>
      <w:r/>
      <w:bookmarkStart w:id="125" w:name="_Hlt26668975"/>
      <w:r/>
      <w:bookmarkEnd w:id="125"/>
      <w:r/>
      <w:bookmarkStart w:id="126" w:name="_Toc14577357"/>
      <w:r/>
      <w:bookmarkStart w:id="127" w:name="_Toc49090509"/>
      <w:r/>
      <w:bookmarkStart w:id="128" w:name="_Toc513029219"/>
      <w:r/>
      <w:bookmarkStart w:id="129" w:name="_Toc14577354"/>
      <w:r/>
      <w:bookmarkStart w:id="130" w:name="_Toc513029216"/>
      <w:r/>
      <w:bookmarkStart w:id="131" w:name="_Toc49090507"/>
      <w:r>
        <w:rPr>
          <w:rFonts w:hint="eastAsia" w:ascii="宋体" w:hAnsi="宋体" w:cs="宋体"/>
          <w:color w:val="000000" w:themeColor="text1"/>
          <w:sz w:val="24"/>
          <w:highlight w:val="none"/>
          <w14:textFill>
            <w14:solidFill>
              <w14:schemeClr w14:val="tx1"/>
            </w14:solidFill>
          </w14:textFill>
        </w:rPr>
        <w:t xml:space="preserve">10、</w:t>
      </w:r>
      <w:bookmarkEnd w:id="126"/>
      <w:r/>
      <w:bookmarkEnd w:id="127"/>
      <w:r/>
      <w:bookmarkEnd w:id="128"/>
      <w:r>
        <w:rPr>
          <w:rFonts w:hint="eastAsia" w:ascii="宋体" w:hAnsi="宋体" w:cs="宋体"/>
          <w:color w:val="000000" w:themeColor="text1"/>
          <w:sz w:val="24"/>
          <w:highlight w:val="none"/>
          <w14:textFill>
            <w14:solidFill>
              <w14:schemeClr w14:val="tx1"/>
            </w14:solidFill>
          </w14:textFill>
        </w:rPr>
        <w:t xml:space="preserve">证明投标人及投标标的符合招标文件规定的文件</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10.1 投标人应按照招标文件要求提交证明文件，证明其及投标标的符合招标文件规定。</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10.2招标文件对证明文件无明确形式要求的，证明文件可以以文字资料、图纸和数据等形式提交。</w:t>
      </w:r>
      <w:bookmarkEnd w:id="129"/>
      <w:bookmarkEnd w:id="130"/>
      <w:bookmarkEnd w:id="131"/>
      <w:r/>
    </w:p>
    <w:p>
      <w:pPr>
        <w:pStyle w:val="848"/>
        <w:spacing w:before="57" w:after="0" w:line="400" w:lineRule="exact"/>
        <w:rPr>
          <w:rFonts w:ascii="宋体" w:hAnsi="宋体" w:cs="宋体"/>
          <w:color w:val="000000" w:themeColor="text1"/>
          <w:sz w:val="24"/>
          <w:szCs w:val="24"/>
          <w:highlight w:val="none"/>
          <w:lang w:eastAsia="zh-CN"/>
          <w14:textFill>
            <w14:solidFill>
              <w14:schemeClr w14:val="tx1"/>
            </w14:solidFill>
          </w14:textFill>
        </w:rPr>
      </w:pPr>
      <w:r/>
      <w:bookmarkStart w:id="132" w:name="_Toc14577355"/>
      <w:r/>
      <w:bookmarkStart w:id="133" w:name="_Toc49090508"/>
      <w:r>
        <w:rPr>
          <w:rFonts w:hint="eastAsia" w:ascii="宋体" w:hAnsi="宋体" w:cs="宋体"/>
          <w:color w:val="000000" w:themeColor="text1"/>
          <w:sz w:val="24"/>
          <w:szCs w:val="24"/>
          <w:highlight w:val="none"/>
          <w:lang w:eastAsia="zh-CN"/>
          <w14:textFill>
            <w14:solidFill>
              <w14:schemeClr w14:val="tx1"/>
            </w14:solidFill>
          </w14:textFill>
        </w:rPr>
        <w:t xml:space="preserve">11、投标分项报价</w:t>
      </w:r>
      <w:bookmarkEnd w:id="132"/>
      <w:r/>
      <w:bookmarkStart w:id="134" w:name="_Hlt26670373"/>
      <w:r/>
      <w:bookmarkEnd w:id="134"/>
      <w:r>
        <w:rPr>
          <w:rFonts w:hint="eastAsia" w:ascii="宋体" w:hAnsi="宋体" w:cs="宋体"/>
          <w:color w:val="000000" w:themeColor="text1"/>
          <w:sz w:val="24"/>
          <w:szCs w:val="24"/>
          <w:highlight w:val="none"/>
          <w:lang w:eastAsia="zh-CN"/>
          <w14:textFill>
            <w14:solidFill>
              <w14:schemeClr w14:val="tx1"/>
            </w14:solidFill>
          </w14:textFill>
        </w:rPr>
        <w:t xml:space="preserve">表</w:t>
      </w:r>
      <w:bookmarkEnd w:id="133"/>
      <w:r/>
      <w:r/>
    </w:p>
    <w:p>
      <w:pPr>
        <w:spacing w:before="57" w:line="400" w:lineRule="exact"/>
        <w:tabs>
          <w:tab w:val="left" w:pos="1035" w:leader="none"/>
        </w:tabs>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11.1 投标人按照招标文件规定格式填报投标分项报价表。</w:t>
      </w:r>
      <w:r/>
    </w:p>
    <w:p>
      <w:pPr>
        <w:spacing w:before="57" w:line="400" w:lineRule="exact"/>
        <w:tabs>
          <w:tab w:val="left" w:pos="1035" w:leader="none"/>
        </w:tabs>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11.2 投标货币：投标文件中的单价和总价无特殊规定的采用人民币报价，以元为单位标注。招标文件中另有规定的按规定执行。</w:t>
      </w:r>
      <w:r/>
    </w:p>
    <w:p>
      <w:pPr>
        <w:pStyle w:val="848"/>
        <w:spacing w:before="57" w:after="0" w:line="400" w:lineRule="exact"/>
        <w:rPr>
          <w:rFonts w:ascii="宋体" w:hAnsi="宋体" w:cs="宋体"/>
          <w:color w:val="000000" w:themeColor="text1"/>
          <w:sz w:val="24"/>
          <w:szCs w:val="24"/>
          <w:highlight w:val="none"/>
          <w:lang w:eastAsia="zh-CN"/>
          <w14:textFill>
            <w14:solidFill>
              <w14:schemeClr w14:val="tx1"/>
            </w14:solidFill>
          </w14:textFill>
        </w:rPr>
      </w:pPr>
      <w:r/>
      <w:bookmarkStart w:id="135" w:name="_Hlt26954731"/>
      <w:r/>
      <w:bookmarkEnd w:id="135"/>
      <w:r/>
      <w:bookmarkStart w:id="136" w:name="_Hlt26670486"/>
      <w:r/>
      <w:bookmarkEnd w:id="136"/>
      <w:r/>
      <w:bookmarkStart w:id="137" w:name="_Hlt26954846"/>
      <w:r/>
      <w:bookmarkEnd w:id="137"/>
      <w:r/>
      <w:bookmarkStart w:id="138" w:name="_Hlt26670482"/>
      <w:r/>
      <w:bookmarkEnd w:id="138"/>
      <w:r/>
      <w:bookmarkStart w:id="139" w:name="_Hlt26954848"/>
      <w:r/>
      <w:bookmarkEnd w:id="139"/>
      <w:r>
        <w:rPr>
          <w:rFonts w:hint="eastAsia" w:ascii="宋体" w:hAnsi="宋体" w:cs="宋体"/>
          <w:color w:val="000000" w:themeColor="text1"/>
          <w:sz w:val="24"/>
          <w:szCs w:val="24"/>
          <w:highlight w:val="none"/>
          <w:lang w:eastAsia="zh-CN"/>
          <w14:textFill>
            <w14:solidFill>
              <w14:schemeClr w14:val="tx1"/>
            </w14:solidFill>
          </w14:textFill>
        </w:rPr>
        <w:t xml:space="preserve">12、技术要求响应及偏离表、商务要求响应及偏离表</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12.1 投标人需对招标文件中的技术要求与商务要求逐项作出响应或偏离，并说明原因。</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12.2 投标人需</w:t>
      </w:r>
      <w:r>
        <w:rPr>
          <w:rFonts w:hint="eastAsia" w:ascii="宋体" w:hAnsi="宋体" w:cs="宋体"/>
          <w:color w:val="000000" w:themeColor="text1"/>
          <w:sz w:val="24"/>
          <w:highlight w:val="none"/>
          <w:lang w:val="zh-CN"/>
          <w14:textFill>
            <w14:solidFill>
              <w14:schemeClr w14:val="tx1"/>
            </w14:solidFill>
          </w14:textFill>
        </w:rPr>
        <w:t xml:space="preserve">按照招标文件要求，</w:t>
      </w:r>
      <w:r>
        <w:rPr>
          <w:rFonts w:hint="eastAsia" w:ascii="宋体" w:hAnsi="宋体" w:cs="宋体"/>
          <w:bCs/>
          <w:color w:val="000000" w:themeColor="text1"/>
          <w:sz w:val="24"/>
          <w:highlight w:val="none"/>
          <w14:textFill>
            <w14:solidFill>
              <w14:schemeClr w14:val="tx1"/>
            </w14:solidFill>
          </w14:textFill>
        </w:rPr>
        <w:t xml:space="preserve">在投标文件中提供与技术要求和商务要求相关的证明材料。</w:t>
      </w:r>
      <w:r/>
    </w:p>
    <w:p>
      <w:pPr>
        <w:pStyle w:val="848"/>
        <w:spacing w:before="57" w:after="0" w:line="400" w:lineRule="exact"/>
        <w:rPr>
          <w:rFonts w:ascii="宋体" w:hAnsi="宋体" w:cs="宋体"/>
          <w:color w:val="000000" w:themeColor="text1"/>
          <w:sz w:val="24"/>
          <w:szCs w:val="24"/>
          <w:highlight w:val="none"/>
          <w:lang w:eastAsia="zh-CN"/>
          <w14:textFill>
            <w14:solidFill>
              <w14:schemeClr w14:val="tx1"/>
            </w14:solidFill>
          </w14:textFill>
        </w:rPr>
      </w:pPr>
      <w:r/>
      <w:bookmarkStart w:id="140" w:name="_Toc49090510"/>
      <w:r/>
      <w:bookmarkStart w:id="141" w:name="_Toc14577359"/>
      <w:r>
        <w:rPr>
          <w:rFonts w:hint="eastAsia" w:ascii="宋体" w:hAnsi="宋体" w:cs="宋体"/>
          <w:color w:val="000000" w:themeColor="text1"/>
          <w:sz w:val="24"/>
          <w:szCs w:val="24"/>
          <w:highlight w:val="none"/>
          <w:lang w:eastAsia="zh-CN"/>
          <w14:textFill>
            <w14:solidFill>
              <w14:schemeClr w14:val="tx1"/>
            </w14:solidFill>
          </w14:textFill>
        </w:rPr>
        <w:t xml:space="preserve">13、投标函和开标一览表</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13.1 投标人应按照招标文件中提供的格式完整、正确填写投标函、开标一览表。</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13.2 对于采用货币报价的项目，开标一览表中的投标总报价应与投标分项报价表中的投标总报价一致，如不一致，不作为无效投标处理，但评标时按开标一览表中价格为准。</w:t>
      </w:r>
      <w:bookmarkEnd w:id="140"/>
      <w:bookmarkEnd w:id="141"/>
      <w:r/>
    </w:p>
    <w:p>
      <w:pPr>
        <w:pStyle w:val="848"/>
        <w:spacing w:before="57" w:after="0" w:line="400" w:lineRule="exact"/>
        <w:rPr>
          <w:rFonts w:ascii="宋体" w:hAnsi="宋体" w:cs="宋体"/>
          <w:color w:val="000000" w:themeColor="text1"/>
          <w:sz w:val="24"/>
          <w:szCs w:val="24"/>
          <w:highlight w:val="none"/>
          <w:lang w:eastAsia="zh-CN"/>
          <w14:textFill>
            <w14:solidFill>
              <w14:schemeClr w14:val="tx1"/>
            </w14:solidFill>
          </w14:textFill>
        </w:rPr>
      </w:pPr>
      <w:r/>
      <w:bookmarkStart w:id="142" w:name="_Hlt26954734"/>
      <w:r/>
      <w:bookmarkEnd w:id="142"/>
      <w:r/>
      <w:bookmarkStart w:id="143" w:name="_Hlt26670489"/>
      <w:r/>
      <w:bookmarkEnd w:id="143"/>
      <w:r/>
      <w:bookmarkStart w:id="144" w:name="_Hlt26954850"/>
      <w:r/>
      <w:bookmarkEnd w:id="144"/>
      <w:r/>
      <w:bookmarkStart w:id="145" w:name="_Toc14577360"/>
      <w:r/>
      <w:bookmarkStart w:id="146" w:name="_Toc49090511"/>
      <w:r>
        <w:rPr>
          <w:rFonts w:hint="eastAsia" w:ascii="宋体" w:hAnsi="宋体" w:cs="宋体"/>
          <w:color w:val="000000" w:themeColor="text1"/>
          <w:sz w:val="24"/>
          <w:szCs w:val="24"/>
          <w:highlight w:val="none"/>
          <w:lang w:eastAsia="zh-CN"/>
          <w14:textFill>
            <w14:solidFill>
              <w14:schemeClr w14:val="tx1"/>
            </w14:solidFill>
          </w14:textFill>
        </w:rPr>
        <w:t xml:space="preserve">14、投标有效期</w:t>
      </w:r>
      <w:bookmarkEnd w:id="145"/>
      <w:r/>
      <w:bookmarkEnd w:id="146"/>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14.1</w:t>
      </w:r>
      <w:r>
        <w:rPr>
          <w:rFonts w:hint="eastAsia" w:ascii="宋体" w:hAnsi="宋体" w:cs="宋体"/>
          <w:bCs/>
          <w:color w:val="000000" w:themeColor="text1"/>
          <w:sz w:val="24"/>
          <w:highlight w:val="none"/>
          <w14:textFill>
            <w14:solidFill>
              <w14:schemeClr w14:val="tx1"/>
            </w14:solidFill>
          </w14:textFill>
        </w:rPr>
        <w:t xml:space="preserve"> 投标有效期为</w:t>
      </w:r>
      <w:r>
        <w:rPr>
          <w:rFonts w:hint="eastAsia" w:ascii="宋体" w:hAnsi="宋体" w:cs="宋体"/>
          <w:color w:val="000000" w:themeColor="text1"/>
          <w:sz w:val="24"/>
          <w:highlight w:val="none"/>
          <w14:textFill>
            <w14:solidFill>
              <w14:schemeClr w14:val="tx1"/>
            </w14:solidFill>
          </w14:textFill>
        </w:rPr>
        <w:t xml:space="preserve">代理机构</w:t>
      </w:r>
      <w:r>
        <w:rPr>
          <w:rFonts w:hint="eastAsia" w:ascii="宋体" w:hAnsi="宋体" w:cs="宋体"/>
          <w:bCs/>
          <w:color w:val="000000" w:themeColor="text1"/>
          <w:sz w:val="24"/>
          <w:highlight w:val="none"/>
          <w14:textFill>
            <w14:solidFill>
              <w14:schemeClr w14:val="tx1"/>
            </w14:solidFill>
          </w14:textFill>
        </w:rPr>
        <w:t xml:space="preserve">规定的开标之日后</w:t>
      </w:r>
      <w:r>
        <w:rPr>
          <w:rFonts w:hint="eastAsia" w:ascii="宋体" w:hAnsi="宋体" w:cs="宋体"/>
          <w:b/>
          <w:color w:val="000000" w:themeColor="text1"/>
          <w:sz w:val="24"/>
          <w:highlight w:val="none"/>
          <w:u w:val="single"/>
          <w14:textFill>
            <w14:solidFill>
              <w14:schemeClr w14:val="tx1"/>
            </w14:solidFill>
          </w14:textFill>
        </w:rPr>
        <w:t xml:space="preserve">六十（60）天</w:t>
      </w:r>
      <w:r>
        <w:rPr>
          <w:rFonts w:hint="eastAsia" w:ascii="宋体" w:hAnsi="宋体" w:cs="宋体"/>
          <w:bCs/>
          <w:color w:val="000000" w:themeColor="text1"/>
          <w:sz w:val="24"/>
          <w:highlight w:val="none"/>
          <w14:textFill>
            <w14:solidFill>
              <w14:schemeClr w14:val="tx1"/>
            </w14:solidFill>
          </w14:textFill>
        </w:rPr>
        <w:t xml:space="preserve">。投标有效期比规定短的将被视为未实质性响应招标文件而予以拒绝。</w:t>
      </w:r>
      <w:r/>
    </w:p>
    <w:p>
      <w:pPr>
        <w:pStyle w:val="848"/>
        <w:spacing w:before="57" w:after="0" w:line="400" w:lineRule="exact"/>
        <w:rPr>
          <w:rFonts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15、投标有效期的延长</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15.1</w:t>
      </w:r>
      <w:r>
        <w:rPr>
          <w:rFonts w:hint="eastAsia" w:ascii="宋体" w:hAnsi="宋体" w:cs="宋体"/>
          <w:bCs/>
          <w:color w:val="000000" w:themeColor="text1"/>
          <w:sz w:val="24"/>
          <w:highlight w:val="none"/>
          <w14:textFill>
            <w14:solidFill>
              <w14:schemeClr w14:val="tx1"/>
            </w14:solidFill>
          </w14:textFill>
        </w:rPr>
        <w:t xml:space="preserve">在特殊情况下，</w:t>
      </w:r>
      <w:r>
        <w:rPr>
          <w:rFonts w:hint="eastAsia" w:ascii="宋体" w:hAnsi="宋体" w:cs="宋体"/>
          <w:color w:val="000000" w:themeColor="text1"/>
          <w:sz w:val="24"/>
          <w:highlight w:val="none"/>
          <w14:textFill>
            <w14:solidFill>
              <w14:schemeClr w14:val="tx1"/>
            </w14:solidFill>
          </w14:textFill>
        </w:rPr>
        <w:t xml:space="preserve">代理机构</w:t>
      </w:r>
      <w:r>
        <w:rPr>
          <w:rFonts w:hint="eastAsia" w:ascii="宋体" w:hAnsi="宋体" w:cs="宋体"/>
          <w:bCs/>
          <w:color w:val="000000" w:themeColor="text1"/>
          <w:sz w:val="24"/>
          <w:highlight w:val="none"/>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cs="宋体"/>
          <w:color w:val="000000" w:themeColor="text1"/>
          <w:sz w:val="24"/>
          <w:highlight w:val="none"/>
          <w14:textFill>
            <w14:solidFill>
              <w14:schemeClr w14:val="tx1"/>
            </w14:solidFill>
          </w14:textFill>
        </w:rPr>
        <w:t xml:space="preserve">代理机构</w:t>
      </w:r>
      <w:r>
        <w:rPr>
          <w:rFonts w:hint="eastAsia" w:ascii="宋体" w:hAnsi="宋体" w:cs="宋体"/>
          <w:bCs/>
          <w:color w:val="000000" w:themeColor="text1"/>
          <w:sz w:val="24"/>
          <w:highlight w:val="none"/>
          <w14:textFill>
            <w14:solidFill>
              <w14:schemeClr w14:val="tx1"/>
            </w14:solidFill>
          </w14:textFill>
        </w:rPr>
        <w:t xml:space="preserve">的这一要求而放弃投标</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同意延长投标有效期的投标人既不能要求也不允许修改其投标文件。</w:t>
      </w:r>
      <w:r>
        <w:rPr>
          <w:rFonts w:hint="eastAsia" w:ascii="宋体" w:hAnsi="宋体" w:cs="宋体"/>
          <w:color w:val="000000" w:themeColor="text1"/>
          <w:sz w:val="24"/>
          <w:highlight w:val="none"/>
          <w14:textFill>
            <w14:solidFill>
              <w14:schemeClr w14:val="tx1"/>
            </w14:solidFill>
          </w14:textFill>
        </w:rPr>
        <w:t xml:space="preserve">同时受投标有效期约束的所有权利与义务均延长至新的有效期</w:t>
      </w:r>
      <w:r>
        <w:rPr>
          <w:rFonts w:hint="eastAsia" w:ascii="宋体" w:hAnsi="宋体" w:cs="宋体"/>
          <w:bCs/>
          <w:color w:val="000000" w:themeColor="text1"/>
          <w:sz w:val="24"/>
          <w:highlight w:val="none"/>
          <w14:textFill>
            <w14:solidFill>
              <w14:schemeClr w14:val="tx1"/>
            </w14:solidFill>
          </w14:textFill>
        </w:rPr>
        <w:t xml:space="preserve">。</w:t>
      </w:r>
      <w:r/>
    </w:p>
    <w:p>
      <w:pPr>
        <w:pStyle w:val="846"/>
        <w:spacing w:before="286" w:after="143" w:line="400" w:lineRule="exact"/>
        <w:rPr>
          <w:rFonts w:ascii="宋体" w:hAnsi="宋体" w:eastAsia="宋体" w:cs="宋体"/>
          <w:color w:val="000000" w:themeColor="text1"/>
          <w:sz w:val="32"/>
          <w:szCs w:val="32"/>
          <w:highlight w:val="none"/>
          <w:lang w:eastAsia="zh-CN"/>
          <w14:textFill>
            <w14:solidFill>
              <w14:schemeClr w14:val="tx1"/>
            </w14:solidFill>
          </w14:textFill>
        </w:rPr>
      </w:pPr>
      <w:r/>
      <w:bookmarkStart w:id="147" w:name="_Hlt26954852"/>
      <w:r/>
      <w:bookmarkEnd w:id="147"/>
      <w:r/>
      <w:bookmarkStart w:id="148" w:name="_Hlt26954739"/>
      <w:r/>
      <w:bookmarkEnd w:id="148"/>
      <w:r/>
      <w:bookmarkStart w:id="149" w:name="_Toc12887264"/>
      <w:r/>
      <w:bookmarkStart w:id="150" w:name="_Toc120614217"/>
      <w:r/>
      <w:bookmarkStart w:id="151" w:name="_Toc9363429"/>
      <w:r/>
      <w:bookmarkStart w:id="152" w:name="_Toc16938540"/>
      <w:r/>
      <w:bookmarkStart w:id="153" w:name="_Toc20823296"/>
      <w:r/>
      <w:bookmarkStart w:id="154" w:name="_Toc513029224"/>
      <w:r/>
      <w:bookmarkStart w:id="155" w:name="_Toc12708974"/>
      <w:r/>
      <w:bookmarkStart w:id="156" w:name="_Toc8485115"/>
      <w:r/>
      <w:bookmarkStart w:id="157" w:name="_Toc226126997"/>
      <w:r>
        <w:rPr>
          <w:rFonts w:hint="eastAsia" w:ascii="宋体" w:hAnsi="宋体" w:eastAsia="宋体" w:cs="宋体"/>
          <w:color w:val="000000" w:themeColor="text1"/>
          <w:sz w:val="32"/>
          <w:szCs w:val="32"/>
          <w:highlight w:val="none"/>
          <w:lang w:eastAsia="zh-CN"/>
          <w14:textFill>
            <w14:solidFill>
              <w14:schemeClr w14:val="tx1"/>
            </w14:solidFill>
          </w14:textFill>
        </w:rPr>
        <w:t xml:space="preserve">四、投标文件的递交</w:t>
      </w:r>
      <w:bookmarkEnd w:id="149"/>
      <w:r/>
      <w:bookmarkEnd w:id="150"/>
      <w:r/>
      <w:bookmarkEnd w:id="151"/>
      <w:r/>
      <w:bookmarkEnd w:id="152"/>
      <w:r/>
      <w:bookmarkEnd w:id="153"/>
      <w:r/>
      <w:bookmarkEnd w:id="154"/>
      <w:r/>
      <w:bookmarkEnd w:id="155"/>
      <w:r/>
      <w:bookmarkEnd w:id="156"/>
      <w:r/>
      <w:bookmarkEnd w:id="157"/>
      <w:r/>
      <w:r/>
    </w:p>
    <w:p>
      <w:pPr>
        <w:pStyle w:val="848"/>
        <w:spacing w:before="57" w:after="0" w:line="400" w:lineRule="exact"/>
        <w:rPr>
          <w:rFonts w:ascii="宋体" w:hAnsi="宋体" w:cs="宋体"/>
          <w:color w:val="000000" w:themeColor="text1"/>
          <w:sz w:val="24"/>
          <w:szCs w:val="24"/>
          <w:highlight w:val="none"/>
          <w:lang w:eastAsia="zh-CN"/>
          <w14:textFill>
            <w14:solidFill>
              <w14:schemeClr w14:val="tx1"/>
            </w14:solidFill>
          </w14:textFill>
        </w:rPr>
      </w:pPr>
      <w:r/>
      <w:bookmarkStart w:id="158" w:name="_Toc20823297"/>
      <w:r/>
      <w:bookmarkStart w:id="159" w:name="_Toc513029225"/>
      <w:r/>
      <w:bookmarkStart w:id="160" w:name="_Toc16938541"/>
      <w:r/>
      <w:bookmarkStart w:id="161" w:name="_Toc462564084"/>
      <w:r>
        <w:rPr>
          <w:rFonts w:hint="eastAsia" w:ascii="宋体" w:hAnsi="宋体" w:cs="宋体"/>
          <w:color w:val="000000" w:themeColor="text1"/>
          <w:sz w:val="24"/>
          <w:szCs w:val="24"/>
          <w:highlight w:val="none"/>
          <w:lang w:eastAsia="zh-CN"/>
          <w14:textFill>
            <w14:solidFill>
              <w14:schemeClr w14:val="tx1"/>
            </w14:solidFill>
          </w14:textFill>
        </w:rPr>
        <w:t xml:space="preserve">16、电子投标文件的</w:t>
      </w:r>
      <w:bookmarkEnd w:id="158"/>
      <w:r/>
      <w:bookmarkEnd w:id="159"/>
      <w:r/>
      <w:bookmarkEnd w:id="160"/>
      <w:r/>
      <w:bookmarkEnd w:id="161"/>
      <w:r>
        <w:rPr>
          <w:rFonts w:hint="eastAsia" w:ascii="宋体" w:hAnsi="宋体" w:cs="宋体"/>
          <w:color w:val="000000" w:themeColor="text1"/>
          <w:sz w:val="24"/>
          <w:szCs w:val="24"/>
          <w:highlight w:val="none"/>
          <w:lang w:eastAsia="zh-CN"/>
          <w14:textFill>
            <w14:solidFill>
              <w14:schemeClr w14:val="tx1"/>
            </w14:solidFill>
          </w14:textFill>
        </w:rPr>
        <w:t xml:space="preserve">递交</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16.1</w:t>
      </w:r>
      <w:r>
        <w:rPr>
          <w:rFonts w:hint="eastAsia" w:ascii="宋体" w:hAnsi="宋体" w:cs="宋体"/>
          <w:bCs/>
          <w:color w:val="000000" w:themeColor="text1"/>
          <w:sz w:val="24"/>
          <w:highlight w:val="none"/>
          <w14:textFill>
            <w14:solidFill>
              <w14:schemeClr w14:val="tx1"/>
            </w14:solidFill>
          </w14:textFill>
        </w:rPr>
        <w:t xml:space="preserve">投标人应当按照《操作手册》规定，在投标截止时间前制作并上传电</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子投标文件。</w:t>
      </w:r>
      <w:r/>
    </w:p>
    <w:p>
      <w:pPr>
        <w:pStyle w:val="848"/>
        <w:spacing w:before="57" w:after="0" w:line="400" w:lineRule="exact"/>
        <w:rPr>
          <w:rFonts w:ascii="宋体" w:hAnsi="宋体" w:cs="宋体"/>
          <w:color w:val="000000" w:themeColor="text1"/>
          <w:sz w:val="24"/>
          <w:szCs w:val="24"/>
          <w:highlight w:val="none"/>
          <w:lang w:eastAsia="zh-CN"/>
          <w14:textFill>
            <w14:solidFill>
              <w14:schemeClr w14:val="tx1"/>
            </w14:solidFill>
          </w14:textFill>
        </w:rPr>
      </w:pPr>
      <w:r/>
      <w:bookmarkStart w:id="162" w:name="_Toc513029226"/>
      <w:r/>
      <w:bookmarkStart w:id="163" w:name="_Toc16938542"/>
      <w:r/>
      <w:bookmarkStart w:id="164" w:name="_Toc20823298"/>
      <w:r>
        <w:rPr>
          <w:rFonts w:hint="eastAsia" w:ascii="宋体" w:hAnsi="宋体" w:cs="宋体"/>
          <w:color w:val="000000" w:themeColor="text1"/>
          <w:sz w:val="24"/>
          <w:szCs w:val="24"/>
          <w:highlight w:val="none"/>
          <w:lang w:eastAsia="zh-CN"/>
          <w14:textFill>
            <w14:solidFill>
              <w14:schemeClr w14:val="tx1"/>
            </w14:solidFill>
          </w14:textFill>
        </w:rPr>
        <w:t xml:space="preserve">17、投标截止</w:t>
      </w:r>
      <w:bookmarkEnd w:id="162"/>
      <w:r/>
      <w:bookmarkEnd w:id="163"/>
      <w:r/>
      <w:bookmarkEnd w:id="164"/>
      <w:r>
        <w:rPr>
          <w:rFonts w:hint="eastAsia" w:ascii="宋体" w:hAnsi="宋体" w:cs="宋体"/>
          <w:color w:val="000000" w:themeColor="text1"/>
          <w:sz w:val="24"/>
          <w:szCs w:val="24"/>
          <w:highlight w:val="none"/>
          <w:lang w:eastAsia="zh-CN"/>
          <w14:textFill>
            <w14:solidFill>
              <w14:schemeClr w14:val="tx1"/>
            </w14:solidFill>
          </w14:textFill>
        </w:rPr>
        <w:t xml:space="preserve">时间</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17.1</w:t>
      </w:r>
      <w:r>
        <w:rPr>
          <w:rFonts w:hint="eastAsia" w:ascii="宋体" w:hAnsi="宋体" w:cs="宋体"/>
          <w:bCs/>
          <w:color w:val="000000" w:themeColor="text1"/>
          <w:sz w:val="24"/>
          <w:szCs w:val="21"/>
          <w:highlight w:val="none"/>
          <w14:textFill>
            <w14:solidFill>
              <w14:schemeClr w14:val="tx1"/>
            </w14:solidFill>
          </w14:textFill>
        </w:rPr>
        <w:t xml:space="preserve">投标人上传电子</w:t>
      </w:r>
      <w:r>
        <w:rPr>
          <w:rFonts w:hint="eastAsia" w:ascii="宋体" w:hAnsi="宋体" w:cs="宋体"/>
          <w:bCs/>
          <w:color w:val="000000" w:themeColor="text1"/>
          <w:sz w:val="24"/>
          <w:highlight w:val="none"/>
          <w14:textFill>
            <w14:solidFill>
              <w14:schemeClr w14:val="tx1"/>
            </w14:solidFill>
          </w14:textFill>
        </w:rPr>
        <w:t xml:space="preserve">投标文件的时间不得迟于招标公告中规定的提交投标文件截止时间。投标人应充分考虑到网络环境、网络带宽等风险因素，如因投标人自身原因造成的电子投标文件上传不成功的按照本招标文件第二章第25.1.2条规定做无效投标处理。</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17.2代理机构</w:t>
      </w:r>
      <w:r>
        <w:rPr>
          <w:rFonts w:hint="eastAsia" w:ascii="宋体" w:hAnsi="宋体" w:cs="宋体"/>
          <w:bCs/>
          <w:color w:val="000000" w:themeColor="text1"/>
          <w:sz w:val="24"/>
          <w:highlight w:val="none"/>
          <w14:textFill>
            <w14:solidFill>
              <w14:schemeClr w14:val="tx1"/>
            </w14:solidFill>
          </w14:textFill>
        </w:rPr>
        <w:t xml:space="preserve">可以按照规定，通过修改招标文件酌情延长提交投标文件截止时间，在此情况下，投标人的所有权利和义务以及投标人受制的截止时间均应以延长后新的截止时间为准。</w:t>
      </w:r>
      <w:r/>
    </w:p>
    <w:p>
      <w:pPr>
        <w:pStyle w:val="848"/>
        <w:spacing w:before="57" w:after="0" w:line="400" w:lineRule="exact"/>
        <w:rPr>
          <w:rFonts w:ascii="宋体" w:hAnsi="宋体" w:cs="宋体"/>
          <w:color w:val="000000" w:themeColor="text1"/>
          <w:sz w:val="24"/>
          <w:szCs w:val="24"/>
          <w:highlight w:val="none"/>
          <w:lang w:eastAsia="zh-CN"/>
          <w14:textFill>
            <w14:solidFill>
              <w14:schemeClr w14:val="tx1"/>
            </w14:solidFill>
          </w14:textFill>
        </w:rPr>
      </w:pPr>
      <w:r/>
      <w:bookmarkStart w:id="165" w:name="_Toc513029227"/>
      <w:r/>
      <w:bookmarkStart w:id="166" w:name="_Toc20823299"/>
      <w:r/>
      <w:bookmarkStart w:id="167" w:name="_Toc16938543"/>
      <w:r>
        <w:rPr>
          <w:rFonts w:hint="eastAsia" w:ascii="宋体" w:hAnsi="宋体" w:cs="宋体"/>
          <w:color w:val="000000" w:themeColor="text1"/>
          <w:sz w:val="24"/>
          <w:szCs w:val="24"/>
          <w:highlight w:val="none"/>
          <w:lang w:eastAsia="zh-CN"/>
          <w14:textFill>
            <w14:solidFill>
              <w14:schemeClr w14:val="tx1"/>
            </w14:solidFill>
          </w14:textFill>
        </w:rPr>
        <w:t xml:space="preserve">18、投标文件</w:t>
      </w:r>
      <w:bookmarkEnd w:id="165"/>
      <w:r/>
      <w:bookmarkEnd w:id="166"/>
      <w:r/>
      <w:bookmarkEnd w:id="167"/>
      <w:r>
        <w:rPr>
          <w:rFonts w:hint="eastAsia" w:ascii="宋体" w:hAnsi="宋体" w:cs="宋体"/>
          <w:color w:val="000000" w:themeColor="text1"/>
          <w:sz w:val="24"/>
          <w:szCs w:val="24"/>
          <w:highlight w:val="none"/>
          <w:lang w:eastAsia="zh-CN"/>
          <w14:textFill>
            <w14:solidFill>
              <w14:schemeClr w14:val="tx1"/>
            </w14:solidFill>
          </w14:textFill>
        </w:rPr>
        <w:t xml:space="preserve">的拒收</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18.1代理机构</w:t>
      </w:r>
      <w:r>
        <w:rPr>
          <w:rFonts w:hint="eastAsia" w:ascii="宋体" w:hAnsi="宋体" w:cs="宋体"/>
          <w:bCs/>
          <w:color w:val="000000" w:themeColor="text1"/>
          <w:sz w:val="24"/>
          <w:highlight w:val="none"/>
          <w14:textFill>
            <w14:solidFill>
              <w14:schemeClr w14:val="tx1"/>
            </w14:solidFill>
          </w14:textFill>
        </w:rPr>
        <w:t xml:space="preserve">拒绝接收在其规定的提交投标文件截止时间后上传的任何投标文件。</w:t>
      </w:r>
      <w:r/>
    </w:p>
    <w:p>
      <w:pPr>
        <w:spacing w:before="57" w:line="400" w:lineRule="exact"/>
        <w:tabs>
          <w:tab w:val="left" w:pos="900"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18.2代理机构将拒绝接收以邮寄方式送达的任何投标文件。</w:t>
      </w:r>
      <w:r/>
    </w:p>
    <w:p>
      <w:pPr>
        <w:pStyle w:val="848"/>
        <w:spacing w:before="57" w:after="0" w:line="400" w:lineRule="exact"/>
        <w:rPr>
          <w:rFonts w:ascii="宋体" w:hAnsi="宋体" w:cs="宋体"/>
          <w:color w:val="000000" w:themeColor="text1"/>
          <w:sz w:val="24"/>
          <w:szCs w:val="24"/>
          <w:highlight w:val="none"/>
          <w:lang w:eastAsia="zh-CN"/>
          <w14:textFill>
            <w14:solidFill>
              <w14:schemeClr w14:val="tx1"/>
            </w14:solidFill>
          </w14:textFill>
        </w:rPr>
      </w:pPr>
      <w:r/>
      <w:bookmarkStart w:id="168" w:name="_Toc20823300"/>
      <w:r/>
      <w:bookmarkStart w:id="169" w:name="_Toc513029228"/>
      <w:r/>
      <w:bookmarkStart w:id="170" w:name="_Toc16938544"/>
      <w:r>
        <w:rPr>
          <w:rFonts w:hint="eastAsia" w:ascii="宋体" w:hAnsi="宋体" w:cs="宋体"/>
          <w:color w:val="000000" w:themeColor="text1"/>
          <w:sz w:val="24"/>
          <w:szCs w:val="24"/>
          <w:highlight w:val="none"/>
          <w:lang w:eastAsia="zh-CN"/>
          <w14:textFill>
            <w14:solidFill>
              <w14:schemeClr w14:val="tx1"/>
            </w14:solidFill>
          </w14:textFill>
        </w:rPr>
        <w:t xml:space="preserve">19、投标文件的撤回和修改</w:t>
      </w:r>
      <w:bookmarkEnd w:id="168"/>
      <w:r/>
      <w:bookmarkEnd w:id="169"/>
      <w:r/>
      <w:bookmarkEnd w:id="170"/>
      <w:r/>
      <w:bookmarkStart w:id="171" w:name="_Toc120614218"/>
      <w:r/>
      <w:bookmarkStart w:id="172" w:name="_Toc513029229"/>
      <w:r/>
      <w:bookmarkStart w:id="173" w:name="_Toc16938545"/>
      <w:r/>
      <w:bookmarkStart w:id="174" w:name="_Toc8485116"/>
      <w:r/>
      <w:bookmarkStart w:id="175" w:name="_Toc20823301"/>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19.1 投标文件的撤回</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19.1.1 电子投标文件的撤回</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19.1.2 投标人撤回电子投标文件，则认为其不再参与本项目投标活动。</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19.2 投标文件的修改</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19.2.1投标人可在投标截止时间前，对其电子投标文件进行修改，具体操作方法见《操作手册》。</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19.2.2 在投标截止时间之后，投标人不得对其电子投标文件作任何修改。</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19.3 在投标截止时间至招标文件中规定的投标有效期满之间的这段时间内，投标人不得撤回其投标。</w:t>
      </w:r>
      <w:r/>
    </w:p>
    <w:p>
      <w:pPr>
        <w:pStyle w:val="846"/>
        <w:spacing w:before="286" w:after="143" w:line="400" w:lineRule="exact"/>
        <w:rPr>
          <w:rFonts w:ascii="宋体" w:hAnsi="宋体" w:eastAsia="宋体" w:cs="宋体"/>
          <w:color w:val="000000" w:themeColor="text1"/>
          <w:sz w:val="32"/>
          <w:szCs w:val="32"/>
          <w:highlight w:val="none"/>
          <w:lang w:eastAsia="zh-CN"/>
          <w14:textFill>
            <w14:solidFill>
              <w14:schemeClr w14:val="tx1"/>
            </w14:solidFill>
          </w14:textFill>
        </w:rPr>
      </w:pPr>
      <w:r/>
      <w:bookmarkStart w:id="176" w:name="_Toc12887265"/>
      <w:r/>
      <w:bookmarkStart w:id="177" w:name="_Toc9363430"/>
      <w:r/>
      <w:bookmarkStart w:id="178" w:name="_Toc12708975"/>
      <w:r/>
      <w:bookmarkStart w:id="179" w:name="_Toc226126998"/>
      <w:r>
        <w:rPr>
          <w:rFonts w:hint="eastAsia" w:ascii="宋体" w:hAnsi="宋体" w:eastAsia="宋体" w:cs="宋体"/>
          <w:color w:val="000000" w:themeColor="text1"/>
          <w:sz w:val="32"/>
          <w:szCs w:val="32"/>
          <w:highlight w:val="none"/>
          <w:lang w:eastAsia="zh-CN"/>
          <w14:textFill>
            <w14:solidFill>
              <w14:schemeClr w14:val="tx1"/>
            </w14:solidFill>
          </w14:textFill>
        </w:rPr>
        <w:t xml:space="preserve">五、开标与评标</w:t>
      </w:r>
      <w:bookmarkEnd w:id="171"/>
      <w:r/>
      <w:bookmarkEnd w:id="172"/>
      <w:r/>
      <w:bookmarkEnd w:id="173"/>
      <w:r/>
      <w:bookmarkEnd w:id="174"/>
      <w:r/>
      <w:bookmarkEnd w:id="175"/>
      <w:r/>
      <w:bookmarkEnd w:id="176"/>
      <w:r/>
      <w:bookmarkEnd w:id="177"/>
      <w:r/>
      <w:bookmarkEnd w:id="178"/>
      <w:r/>
      <w:bookmarkEnd w:id="179"/>
      <w:r/>
      <w:r/>
    </w:p>
    <w:p>
      <w:pPr>
        <w:pStyle w:val="848"/>
        <w:spacing w:before="57" w:after="0" w:line="400" w:lineRule="exact"/>
        <w:rPr>
          <w:rFonts w:ascii="宋体" w:hAnsi="宋体" w:cs="宋体"/>
          <w:color w:val="000000" w:themeColor="text1"/>
          <w:sz w:val="24"/>
          <w:szCs w:val="24"/>
          <w:highlight w:val="none"/>
          <w:lang w:eastAsia="zh-CN"/>
          <w14:textFill>
            <w14:solidFill>
              <w14:schemeClr w14:val="tx1"/>
            </w14:solidFill>
          </w14:textFill>
        </w:rPr>
      </w:pPr>
      <w:r/>
      <w:bookmarkStart w:id="180" w:name="_Toc20823302"/>
      <w:r/>
      <w:bookmarkStart w:id="181" w:name="_Toc16938546"/>
      <w:r/>
      <w:bookmarkStart w:id="182" w:name="_Toc513029230"/>
      <w:r>
        <w:rPr>
          <w:rFonts w:hint="eastAsia" w:ascii="宋体" w:hAnsi="宋体" w:cs="宋体"/>
          <w:color w:val="000000" w:themeColor="text1"/>
          <w:sz w:val="24"/>
          <w:szCs w:val="24"/>
          <w:highlight w:val="none"/>
          <w:lang w:eastAsia="zh-CN"/>
          <w14:textFill>
            <w14:solidFill>
              <w14:schemeClr w14:val="tx1"/>
            </w14:solidFill>
          </w14:textFill>
        </w:rPr>
        <w:t xml:space="preserve">20、开标</w:t>
      </w:r>
      <w:bookmarkEnd w:id="180"/>
      <w:r/>
      <w:bookmarkEnd w:id="181"/>
      <w:r/>
      <w:bookmarkEnd w:id="182"/>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20.1 代理机构将在招标公告中规定的时间和地点组织公开开标。投标人应当按照《操作手册》规定，参加开标活动和在苏采云系统规定的时间内对投标文件进行解密。</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20.2开标仪式由代理机构组织。苏采云系统将自动对项目进行开标，并宣布各投标人名称和投标价格。</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20.3投标人在开标过程中涉及到的投标文件解密、开标结果确认等工作，应按照《操作手册》规定执行。</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20.4投标人如果对开标过程和开标记录有疑义，应当根据《操作手册》规定提出，如苏采云系统中《开标记录表》宣布后5分钟内未提出的，视同认可开标结果。</w:t>
      </w:r>
      <w:r/>
    </w:p>
    <w:p>
      <w:pPr>
        <w:pStyle w:val="848"/>
        <w:spacing w:before="57" w:after="0" w:line="400" w:lineRule="exact"/>
        <w:rPr>
          <w:rFonts w:ascii="宋体" w:hAnsi="宋体" w:cs="宋体"/>
          <w:color w:val="000000" w:themeColor="text1"/>
          <w:sz w:val="24"/>
          <w:szCs w:val="24"/>
          <w:highlight w:val="none"/>
          <w:lang w:eastAsia="zh-CN"/>
          <w14:textFill>
            <w14:solidFill>
              <w14:schemeClr w14:val="tx1"/>
            </w14:solidFill>
          </w14:textFill>
        </w:rPr>
      </w:pPr>
      <w:r/>
      <w:bookmarkStart w:id="183" w:name="_Toc513029231"/>
      <w:r/>
      <w:bookmarkStart w:id="184" w:name="_Toc20823303"/>
      <w:r/>
      <w:bookmarkStart w:id="185" w:name="_Toc16938547"/>
      <w:r>
        <w:rPr>
          <w:rFonts w:hint="eastAsia" w:ascii="宋体" w:hAnsi="宋体" w:cs="宋体"/>
          <w:color w:val="000000" w:themeColor="text1"/>
          <w:sz w:val="24"/>
          <w:szCs w:val="24"/>
          <w:highlight w:val="none"/>
          <w:lang w:eastAsia="zh-CN"/>
          <w14:textFill>
            <w14:solidFill>
              <w14:schemeClr w14:val="tx1"/>
            </w14:solidFill>
          </w14:textFill>
        </w:rPr>
        <w:t xml:space="preserve">21、评标委员会</w:t>
      </w:r>
      <w:r/>
    </w:p>
    <w:p>
      <w:pPr>
        <w:spacing w:before="57"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w:t>
      </w:r>
      <w:r>
        <w:rPr>
          <w:rFonts w:hint="eastAsia" w:ascii="宋体" w:hAnsi="宋体" w:cs="宋体"/>
          <w:b/>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开标后，代理机构将立即组织评标委员会进行评标。</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21.2 评标委员会由采购人代表和有关技术、经济等方面的专家组成，且人员构成符合政府采购有关规定。</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21.3评标委员会独立工作，负责评审所有投标文件并确定中标候选人。</w:t>
      </w:r>
      <w:r/>
    </w:p>
    <w:p>
      <w:pPr>
        <w:pStyle w:val="848"/>
        <w:spacing w:before="57" w:after="0" w:line="400" w:lineRule="exact"/>
        <w:rPr>
          <w:rFonts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22、评标过程的保密与公正</w:t>
      </w:r>
      <w:bookmarkEnd w:id="183"/>
      <w:bookmarkEnd w:id="184"/>
      <w:bookmarkEnd w:id="185"/>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22.1</w:t>
      </w:r>
      <w:r>
        <w:rPr>
          <w:rFonts w:hint="eastAsia" w:ascii="宋体" w:hAnsi="宋体" w:cs="宋体"/>
          <w:bCs/>
          <w:color w:val="000000" w:themeColor="text1"/>
          <w:sz w:val="24"/>
          <w:highlight w:val="none"/>
          <w14:textFill>
            <w14:solidFill>
              <w14:schemeClr w14:val="tx1"/>
            </w14:solidFill>
          </w14:textFill>
        </w:rPr>
        <w:t xml:space="preserve">凡是与审查、澄清、评价和比较投标的有关资料以及授标建议等，采购人、评委、</w:t>
      </w:r>
      <w:r>
        <w:rPr>
          <w:rFonts w:hint="eastAsia" w:ascii="宋体" w:hAnsi="宋体" w:cs="宋体"/>
          <w:color w:val="000000" w:themeColor="text1"/>
          <w:sz w:val="24"/>
          <w:highlight w:val="none"/>
          <w14:textFill>
            <w14:solidFill>
              <w14:schemeClr w14:val="tx1"/>
            </w14:solidFill>
          </w14:textFill>
        </w:rPr>
        <w:t xml:space="preserve">代理机构</w:t>
      </w:r>
      <w:r>
        <w:rPr>
          <w:rFonts w:hint="eastAsia" w:ascii="宋体" w:hAnsi="宋体" w:cs="宋体"/>
          <w:bCs/>
          <w:color w:val="000000" w:themeColor="text1"/>
          <w:sz w:val="24"/>
          <w:highlight w:val="none"/>
          <w14:textFill>
            <w14:solidFill>
              <w14:schemeClr w14:val="tx1"/>
            </w14:solidFill>
          </w14:textFill>
        </w:rPr>
        <w:t xml:space="preserve">均不得向投标人或与评标无关的其他人员透露。</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22.2在评标过程中，投标人不得以任何行为影响评标过程，否则其投标文件将被作为无效投标文件。</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22.3代理机构和评标委员会不向未中标的投标人解释未中标原因，也不公布评标过程中的相关细节。</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22.4采用综合评分法的项目，未中标的投标人可于中标结果公告期限届满之日起通过苏采云系统查看自己的评审得分及排序情况，逾期将不予受理。</w:t>
      </w:r>
      <w:r/>
    </w:p>
    <w:p>
      <w:pPr>
        <w:pStyle w:val="848"/>
        <w:spacing w:before="57" w:after="0" w:line="400" w:lineRule="exact"/>
        <w:rPr>
          <w:rFonts w:ascii="宋体" w:hAnsi="宋体" w:cs="宋体"/>
          <w:color w:val="000000" w:themeColor="text1"/>
          <w:sz w:val="24"/>
          <w:szCs w:val="24"/>
          <w:highlight w:val="none"/>
          <w:lang w:eastAsia="zh-CN"/>
          <w14:textFill>
            <w14:solidFill>
              <w14:schemeClr w14:val="tx1"/>
            </w14:solidFill>
          </w14:textFill>
        </w:rPr>
      </w:pPr>
      <w:r/>
      <w:bookmarkStart w:id="186" w:name="_Toc20823304"/>
      <w:r/>
      <w:bookmarkStart w:id="187" w:name="_Toc16938548"/>
      <w:r/>
      <w:bookmarkStart w:id="188" w:name="_Toc513029232"/>
      <w:r>
        <w:rPr>
          <w:rFonts w:hint="eastAsia" w:ascii="宋体" w:hAnsi="宋体" w:cs="宋体"/>
          <w:color w:val="000000" w:themeColor="text1"/>
          <w:sz w:val="24"/>
          <w:szCs w:val="24"/>
          <w:highlight w:val="none"/>
          <w:lang w:eastAsia="zh-CN"/>
          <w14:textFill>
            <w14:solidFill>
              <w14:schemeClr w14:val="tx1"/>
            </w14:solidFill>
          </w14:textFill>
        </w:rPr>
        <w:t xml:space="preserve">23、投标文件的澄清</w:t>
      </w:r>
      <w:bookmarkEnd w:id="186"/>
      <w:r/>
      <w:bookmarkEnd w:id="187"/>
      <w:r/>
      <w:bookmarkEnd w:id="188"/>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23.1评标期间，评标委员会对投标文件中含义不明确、同类问题表述不一致或者有明显文字和计算错误的内容 ，有权要求投标人作出必要的澄清、说明或者补正。投标人的澄清、说明或者补正不得超出投标文件的范围或者改变投标文件的实质性内容。</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23.2评标委员会并非对每个投标人都做澄清要求。</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23.3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23.4 接到评标委员会澄清、说明和补正要求的投标人如未按规定做出澄清、说明和补正，其风险由投标人自行承担。</w:t>
      </w:r>
      <w:r/>
    </w:p>
    <w:p>
      <w:pPr>
        <w:pStyle w:val="848"/>
        <w:spacing w:before="57" w:after="0" w:line="400" w:lineRule="exact"/>
        <w:rPr>
          <w:rFonts w:ascii="宋体" w:hAnsi="宋体" w:cs="宋体"/>
          <w:color w:val="000000" w:themeColor="text1"/>
          <w:sz w:val="24"/>
          <w:szCs w:val="24"/>
          <w:highlight w:val="none"/>
          <w:lang w:eastAsia="zh-CN"/>
          <w14:textFill>
            <w14:solidFill>
              <w14:schemeClr w14:val="tx1"/>
            </w14:solidFill>
          </w14:textFill>
        </w:rPr>
      </w:pPr>
      <w:r/>
      <w:bookmarkStart w:id="189" w:name="_Toc513029233"/>
      <w:r/>
      <w:bookmarkStart w:id="190" w:name="_Toc20823305"/>
      <w:r/>
      <w:bookmarkStart w:id="191" w:name="_Toc16938549"/>
      <w:r>
        <w:rPr>
          <w:rFonts w:hint="eastAsia" w:ascii="宋体" w:hAnsi="宋体" w:cs="宋体"/>
          <w:color w:val="000000" w:themeColor="text1"/>
          <w:sz w:val="24"/>
          <w:szCs w:val="24"/>
          <w:highlight w:val="none"/>
          <w:lang w:eastAsia="zh-CN"/>
          <w14:textFill>
            <w14:solidFill>
              <w14:schemeClr w14:val="tx1"/>
            </w14:solidFill>
          </w14:textFill>
        </w:rPr>
        <w:t xml:space="preserve">24、对投标文件的初审</w:t>
      </w:r>
      <w:bookmarkEnd w:id="189"/>
      <w:r/>
      <w:bookmarkEnd w:id="190"/>
      <w:r/>
      <w:bookmarkEnd w:id="191"/>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24.1</w:t>
      </w:r>
      <w:r>
        <w:rPr>
          <w:rFonts w:hint="eastAsia" w:ascii="宋体" w:hAnsi="宋体" w:cs="宋体"/>
          <w:bCs/>
          <w:color w:val="000000" w:themeColor="text1"/>
          <w:sz w:val="24"/>
          <w:highlight w:val="none"/>
          <w14:textFill>
            <w14:solidFill>
              <w14:schemeClr w14:val="tx1"/>
            </w14:solidFill>
          </w14:textFill>
        </w:rPr>
        <w:t xml:space="preserve">投标文件初审分为资格审查和符合性审查。</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cs="宋体"/>
          <w:color w:val="000000" w:themeColor="text1"/>
          <w:sz w:val="24"/>
          <w:highlight w:val="none"/>
          <w14:textFill>
            <w14:solidFill>
              <w14:schemeClr w14:val="tx1"/>
            </w14:solidFill>
          </w14:textFill>
        </w:rPr>
        <w:t xml:space="preserve">评标委员会</w:t>
      </w:r>
      <w:r>
        <w:rPr>
          <w:rFonts w:hint="eastAsia" w:ascii="宋体" w:hAnsi="宋体" w:cs="宋体"/>
          <w:bCs/>
          <w:color w:val="000000" w:themeColor="text1"/>
          <w:sz w:val="24"/>
          <w:highlight w:val="none"/>
          <w14:textFill>
            <w14:solidFill>
              <w14:schemeClr w14:val="tx1"/>
            </w14:solidFill>
          </w14:textFill>
        </w:rPr>
        <w:t xml:space="preserve">进行反馈。</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采购人或代理机构在进行资格性审查的同时，</w:t>
      </w:r>
      <w:r>
        <w:rPr>
          <w:rFonts w:hint="eastAsia" w:ascii="宋体" w:hAnsi="宋体" w:cs="宋体"/>
          <w:color w:val="000000" w:themeColor="text1"/>
          <w:sz w:val="24"/>
          <w:highlight w:val="none"/>
          <w14:textFill>
            <w14:solidFill>
              <w14:schemeClr w14:val="tx1"/>
            </w14:solidFill>
          </w14:textFill>
        </w:rPr>
        <w:t xml:space="preserve">将在“信用中国”查询投标人的信用记录，以确定投标人是否具备投标资格，查询结果留存并归档。</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w:t>
      </w:r>
      <w:r>
        <w:rPr>
          <w:rFonts w:hint="eastAsia" w:ascii="宋体" w:hAnsi="宋体" w:cs="宋体"/>
          <w:bCs/>
          <w:color w:val="000000" w:themeColor="text1"/>
          <w:sz w:val="24"/>
          <w:szCs w:val="21"/>
          <w:highlight w:val="none"/>
          <w14:textFill>
            <w14:solidFill>
              <w14:schemeClr w14:val="tx1"/>
            </w14:solidFill>
          </w14:textFill>
        </w:rPr>
        <w:t xml:space="preserve">任何一方</w:t>
      </w:r>
      <w:r>
        <w:rPr>
          <w:rFonts w:hint="eastAsia" w:ascii="宋体" w:hAnsi="宋体" w:cs="宋体"/>
          <w:bCs/>
          <w:color w:val="000000" w:themeColor="text1"/>
          <w:sz w:val="24"/>
          <w:highlight w:val="none"/>
          <w14:textFill>
            <w14:solidFill>
              <w14:schemeClr w14:val="tx1"/>
            </w14:solidFill>
          </w14:textFill>
        </w:rPr>
        <w:t xml:space="preserve">存在不良信用记录的，视同联合体存在不良应用记录。</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24.1.2 符合性审查：依据招标文件的规定，由</w:t>
      </w:r>
      <w:r>
        <w:rPr>
          <w:rFonts w:hint="eastAsia" w:ascii="宋体" w:hAnsi="宋体" w:cs="宋体"/>
          <w:color w:val="000000" w:themeColor="text1"/>
          <w:sz w:val="24"/>
          <w:highlight w:val="none"/>
          <w14:textFill>
            <w14:solidFill>
              <w14:schemeClr w14:val="tx1"/>
            </w14:solidFill>
          </w14:textFill>
        </w:rPr>
        <w:t xml:space="preserve">评标委员会</w:t>
      </w:r>
      <w:r>
        <w:rPr>
          <w:rFonts w:hint="eastAsia" w:ascii="宋体" w:hAnsi="宋体" w:cs="宋体"/>
          <w:bCs/>
          <w:color w:val="000000" w:themeColor="text1"/>
          <w:sz w:val="24"/>
          <w:highlight w:val="none"/>
          <w14:textFill>
            <w14:solidFill>
              <w14:schemeClr w14:val="tx1"/>
            </w14:solidFill>
          </w14:textFill>
        </w:rPr>
        <w:t xml:space="preserve">从投标文件的有效性、完整性和对招标文件的响应程度进行审查，以确定是否对招标文件的实质性要求作出响应。</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24.1.3 未通过资格审查或符合性审查的投标人，代理机构将在</w:t>
      </w:r>
      <w:r>
        <w:rPr>
          <w:rFonts w:hint="eastAsia" w:ascii="宋体" w:hAnsi="宋体" w:cs="宋体"/>
          <w:color w:val="000000" w:themeColor="text1"/>
          <w:sz w:val="24"/>
          <w:highlight w:val="none"/>
          <w14:textFill>
            <w14:solidFill>
              <w14:schemeClr w14:val="tx1"/>
            </w14:solidFill>
          </w14:textFill>
        </w:rPr>
        <w:t xml:space="preserve">苏采云系统</w:t>
      </w:r>
      <w:r>
        <w:rPr>
          <w:rFonts w:hint="eastAsia" w:ascii="宋体" w:hAnsi="宋体" w:cs="宋体"/>
          <w:bCs/>
          <w:color w:val="000000" w:themeColor="text1"/>
          <w:sz w:val="24"/>
          <w:szCs w:val="21"/>
          <w:highlight w:val="none"/>
          <w14:textFill>
            <w14:solidFill>
              <w14:schemeClr w14:val="tx1"/>
            </w14:solidFill>
          </w14:textFill>
        </w:rPr>
        <w:t xml:space="preserve">中</w:t>
      </w:r>
      <w:r>
        <w:rPr>
          <w:rFonts w:hint="eastAsia" w:ascii="宋体" w:hAnsi="宋体" w:cs="宋体"/>
          <w:bCs/>
          <w:color w:val="000000" w:themeColor="text1"/>
          <w:sz w:val="24"/>
          <w:highlight w:val="none"/>
          <w14:textFill>
            <w14:solidFill>
              <w14:schemeClr w14:val="tx1"/>
            </w14:solidFill>
          </w14:textFill>
        </w:rPr>
        <w:t xml:space="preserve">告知未通过资格审查或符合性审查的原因，评审结束后，代理机构将不再告知未通过资格审查或符合性审查的原因。</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cs="宋体"/>
          <w:bCs/>
          <w:color w:val="000000" w:themeColor="text1"/>
          <w:sz w:val="24"/>
          <w:highlight w:val="none"/>
          <w14:textFill>
            <w14:solidFill>
              <w14:schemeClr w14:val="tx1"/>
            </w14:solidFill>
          </w14:textFill>
        </w:rPr>
        <w:t xml:space="preserve">评委决定投标文件的响应性只根据投标文件本身的内容，而不寻求外部的证据。</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24.3</w:t>
      </w:r>
      <w:r>
        <w:rPr>
          <w:rFonts w:hint="eastAsia" w:ascii="宋体" w:hAnsi="宋体" w:cs="宋体"/>
          <w:bCs/>
          <w:color w:val="000000" w:themeColor="text1"/>
          <w:sz w:val="24"/>
          <w:highlight w:val="none"/>
          <w14:textFill>
            <w14:solidFill>
              <w14:schemeClr w14:val="tx1"/>
            </w14:solidFill>
          </w14:textFill>
        </w:rPr>
        <w:t xml:space="preserve">如果投标文件实质上没有响应招标文件的要求，</w:t>
      </w:r>
      <w:r>
        <w:rPr>
          <w:rFonts w:hint="eastAsia" w:ascii="宋体" w:hAnsi="宋体" w:cs="宋体"/>
          <w:color w:val="000000" w:themeColor="text1"/>
          <w:sz w:val="24"/>
          <w:highlight w:val="none"/>
          <w14:textFill>
            <w14:solidFill>
              <w14:schemeClr w14:val="tx1"/>
            </w14:solidFill>
          </w14:textFill>
        </w:rPr>
        <w:t xml:space="preserve">评标委员会</w:t>
      </w:r>
      <w:r>
        <w:rPr>
          <w:rFonts w:hint="eastAsia" w:ascii="宋体" w:hAnsi="宋体" w:cs="宋体"/>
          <w:bCs/>
          <w:color w:val="000000" w:themeColor="text1"/>
          <w:sz w:val="24"/>
          <w:highlight w:val="none"/>
          <w14:textFill>
            <w14:solidFill>
              <w14:schemeClr w14:val="tx1"/>
            </w14:solidFill>
          </w14:textFill>
        </w:rPr>
        <w:t xml:space="preserve">将予以拒绝，投标人不得通过修改或撤销不合要求的偏离或保留而使其投标成为实质性响应的投标。</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24.4评标委员会</w:t>
      </w:r>
      <w:r>
        <w:rPr>
          <w:rFonts w:hint="eastAsia" w:ascii="宋体" w:hAnsi="宋体" w:cs="宋体"/>
          <w:bCs/>
          <w:color w:val="000000" w:themeColor="text1"/>
          <w:sz w:val="24"/>
          <w:highlight w:val="none"/>
          <w14:textFill>
            <w14:solidFill>
              <w14:schemeClr w14:val="tx1"/>
            </w14:solidFill>
          </w14:textFill>
        </w:rPr>
        <w:t xml:space="preserve">将对确定为实质性响应的投标进行进一步审核，看其是否有计算上或累加上的算术错误，修正错误的原则如下：</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（2）大写金额和小写金额不一致的，以大写金额为准。</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（4）总价金额与按单价汇总金额不一致的，以单价金额计算结果为准。</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同时出现两种以上错误的，按照前款规定的顺序修正。</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24.5评标委员会</w:t>
      </w:r>
      <w:r>
        <w:rPr>
          <w:rFonts w:hint="eastAsia" w:ascii="宋体" w:hAnsi="宋体" w:cs="宋体"/>
          <w:bCs/>
          <w:color w:val="000000" w:themeColor="text1"/>
          <w:sz w:val="24"/>
          <w:highlight w:val="none"/>
          <w14:textFill>
            <w14:solidFill>
              <w14:schemeClr w14:val="tx1"/>
            </w14:solidFill>
          </w14:textFill>
        </w:rPr>
        <w:t xml:space="preserve">将按上述修正错误的方法调整投标文件中的投标报价，并</w:t>
      </w:r>
      <w:r>
        <w:rPr>
          <w:rFonts w:hint="eastAsia" w:ascii="宋体" w:hAnsi="宋体" w:cs="宋体"/>
          <w:bCs/>
          <w:color w:val="000000" w:themeColor="text1"/>
          <w:sz w:val="24"/>
          <w:szCs w:val="21"/>
          <w:highlight w:val="none"/>
          <w14:textFill>
            <w14:solidFill>
              <w14:schemeClr w14:val="tx1"/>
            </w14:solidFill>
          </w14:textFill>
        </w:rPr>
        <w:t xml:space="preserve">通过</w:t>
      </w:r>
      <w:r>
        <w:rPr>
          <w:rFonts w:hint="eastAsia" w:ascii="宋体" w:hAnsi="宋体" w:cs="宋体"/>
          <w:color w:val="000000" w:themeColor="text1"/>
          <w:sz w:val="24"/>
          <w:highlight w:val="none"/>
          <w14:textFill>
            <w14:solidFill>
              <w14:schemeClr w14:val="tx1"/>
            </w14:solidFill>
          </w14:textFill>
        </w:rPr>
        <w:t xml:space="preserve">苏采云系统</w:t>
      </w:r>
      <w:r>
        <w:rPr>
          <w:rFonts w:hint="eastAsia" w:ascii="宋体" w:hAnsi="宋体" w:cs="宋体"/>
          <w:bCs/>
          <w:color w:val="000000" w:themeColor="text1"/>
          <w:sz w:val="24"/>
          <w:highlight w:val="none"/>
          <w14:textFill>
            <w14:solidFill>
              <w14:schemeClr w14:val="tx1"/>
            </w14:solidFill>
          </w14:textFill>
        </w:rPr>
        <w:t xml:space="preserve">告知投标人，调整后的价格应对投标人具有约束力。如果投标人不接受修正后的价格，则其投标将被拒绝。</w:t>
      </w:r>
      <w:r/>
    </w:p>
    <w:p>
      <w:pPr>
        <w:spacing w:line="400" w:lineRule="exact"/>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24.6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spacing w:line="400" w:lineRule="exact"/>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spacing w:line="400" w:lineRule="exact"/>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非单一产品采购项目，招标文件中将载明其中的核心产品。多家投标人提供的核心产品品牌相同的，按前两款规定处理。</w:t>
      </w:r>
      <w:r/>
    </w:p>
    <w:p>
      <w:pPr>
        <w:spacing w:line="400" w:lineRule="exact"/>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24.7投标人在开、评标全过程中应保持通讯畅通，及时登录苏采云系统查阅、答复相关信息，并安排授权代表与代理机构及评标委员会联系。</w:t>
      </w:r>
      <w:r/>
    </w:p>
    <w:p>
      <w:pPr>
        <w:spacing w:line="400" w:lineRule="exact"/>
        <w:rPr>
          <w:rFonts w:ascii="宋体" w:hAnsi="宋体" w:cs="宋体"/>
          <w:color w:val="000000" w:themeColor="text1"/>
          <w:sz w:val="24"/>
          <w:szCs w:val="21"/>
          <w:highlight w:val="none"/>
          <w14:textFill>
            <w14:solidFill>
              <w14:schemeClr w14:val="tx1"/>
            </w14:solidFill>
          </w14:textFill>
        </w:rPr>
      </w:pPr>
      <w:r>
        <w:rPr>
          <w:rFonts w:ascii="宋体" w:hAnsi="宋体" w:cs="宋体"/>
          <w:color w:val="000000" w:themeColor="text1"/>
          <w:sz w:val="24"/>
          <w:szCs w:val="21"/>
          <w:highlight w:val="none"/>
          <w14:textFill>
            <w14:solidFill>
              <w14:schemeClr w14:val="tx1"/>
            </w14:solidFill>
          </w14:textFill>
        </w:rPr>
      </w:r>
      <w:r/>
    </w:p>
    <w:p>
      <w:pPr>
        <w:spacing w:before="57"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24.8异常低价投标审查</w:t>
      </w:r>
      <w:r/>
    </w:p>
    <w:p>
      <w:pPr>
        <w:spacing w:before="57" w:line="400" w:lineRule="exact"/>
        <w:rPr>
          <w:rFonts w:ascii="宋体" w:hAnsi="宋体" w:cs="宋体"/>
          <w:b/>
          <w:color w:val="000000" w:themeColor="text1"/>
          <w:sz w:val="24"/>
          <w:highlight w:val="none"/>
          <w14:textFill>
            <w14:solidFill>
              <w14:schemeClr w14:val="tx1"/>
            </w14:solidFill>
          </w14:textFill>
        </w:rPr>
      </w:pPr>
      <w:r/>
      <w:bookmarkStart w:id="192" w:name="_Toc16938550"/>
      <w:r/>
      <w:bookmarkStart w:id="193" w:name="_Toc20823306"/>
      <w:r/>
      <w:bookmarkStart w:id="194" w:name="_Toc513029234"/>
      <w:r>
        <w:rPr>
          <w:rFonts w:hint="eastAsia" w:ascii="宋体" w:hAnsi="宋体" w:cs="宋体"/>
          <w:b/>
          <w:color w:val="000000" w:themeColor="text1"/>
          <w:sz w:val="24"/>
          <w:highlight w:val="none"/>
          <w14:textFill>
            <w14:solidFill>
              <w14:schemeClr w14:val="tx1"/>
            </w14:solidFill>
          </w14:textFill>
        </w:rPr>
        <w:t xml:space="preserve">24.8.1 评标过程中出现下列情形之一的，评标委员会应当启动异常低价投标审查程序：</w:t>
      </w:r>
      <w:r/>
    </w:p>
    <w:p>
      <w:pPr>
        <w:spacing w:before="57"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（1）投标报价低于全部通过符合性审查供应商投标报价平均值65%的，即投标报价＜全部通过符合性审查供应商投标报价平均值×65%；</w:t>
      </w:r>
      <w:r/>
    </w:p>
    <w:p>
      <w:pPr>
        <w:spacing w:before="57"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（2）投标报价低于通过符合性审查的次低报价供应商投标报价65%的，即投标报价＜通过符合性审查的次低报价供应商投标报价×65%；</w:t>
      </w:r>
      <w:r/>
    </w:p>
    <w:p>
      <w:pPr>
        <w:spacing w:before="57"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（3）投标报价低于采购项目最高限价65%的，即投标报价＜采购项目最高限价×65%；</w:t>
      </w:r>
      <w:r/>
    </w:p>
    <w:p>
      <w:pPr>
        <w:spacing w:before="57"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（4）评标委员会基于专业判断，认为的供应商报价过低、有可能影响产品质量或者不能诚信履约的其他情形。</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24.8.2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spacing w:before="57"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848"/>
        <w:spacing w:before="57" w:after="0" w:line="400" w:lineRule="exact"/>
        <w:rPr>
          <w:rFonts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25、</w:t>
      </w:r>
      <w:bookmarkEnd w:id="192"/>
      <w:r/>
      <w:bookmarkEnd w:id="193"/>
      <w:r/>
      <w:bookmarkEnd w:id="194"/>
      <w:r>
        <w:rPr>
          <w:rFonts w:hint="eastAsia" w:ascii="宋体" w:hAnsi="宋体" w:cs="宋体"/>
          <w:color w:val="000000" w:themeColor="text1"/>
          <w:sz w:val="24"/>
          <w:szCs w:val="24"/>
          <w:highlight w:val="none"/>
          <w:lang w:eastAsia="zh-CN"/>
          <w14:textFill>
            <w14:solidFill>
              <w14:schemeClr w14:val="tx1"/>
            </w14:solidFill>
          </w14:textFill>
        </w:rPr>
        <w:t xml:space="preserve">无效投标条款和废标条款</w:t>
      </w:r>
      <w:r/>
    </w:p>
    <w:p>
      <w:pPr>
        <w:spacing w:before="57" w:line="400" w:lineRule="exact"/>
        <w:rPr>
          <w:rFonts w:ascii="宋体" w:hAnsi="宋体" w:cs="宋体"/>
          <w:bCs/>
          <w:color w:val="000000" w:themeColor="text1"/>
          <w:sz w:val="24"/>
          <w:highlight w:val="none"/>
          <w14:textFill>
            <w14:solidFill>
              <w14:schemeClr w14:val="tx1"/>
            </w14:solidFill>
          </w14:textFill>
        </w:rPr>
      </w:pPr>
      <w:r/>
      <w:bookmarkStart w:id="195" w:name="_Toc16938551"/>
      <w:r/>
      <w:bookmarkStart w:id="196" w:name="_Toc20823307"/>
      <w:r/>
      <w:bookmarkStart w:id="197" w:name="_Toc513029235"/>
      <w:r>
        <w:rPr>
          <w:rFonts w:hint="eastAsia" w:ascii="宋体" w:hAnsi="宋体" w:cs="宋体"/>
          <w:bCs/>
          <w:color w:val="000000" w:themeColor="text1"/>
          <w:sz w:val="24"/>
          <w:highlight w:val="none"/>
          <w14:textFill>
            <w14:solidFill>
              <w14:schemeClr w14:val="tx1"/>
            </w14:solidFill>
          </w14:textFill>
        </w:rPr>
        <w:t xml:space="preserve">25.1无效投标条款</w:t>
      </w:r>
      <w:r/>
    </w:p>
    <w:p>
      <w:pPr>
        <w:spacing w:line="400" w:lineRule="exact"/>
        <w:rPr>
          <w:rFonts w:ascii="宋体" w:hAnsi="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25.1.1</w:t>
      </w:r>
      <w:r>
        <w:rPr>
          <w:rFonts w:hint="eastAsia" w:ascii="宋体" w:hAnsi="宋体" w:cs="宋体"/>
          <w:bCs/>
          <w:color w:val="000000" w:themeColor="text1"/>
          <w:sz w:val="24"/>
          <w:szCs w:val="21"/>
          <w:highlight w:val="none"/>
          <w14:textFill>
            <w14:solidFill>
              <w14:schemeClr w14:val="tx1"/>
            </w14:solidFill>
          </w14:textFill>
        </w:rPr>
        <w:t xml:space="preserve">投标人在</w:t>
      </w:r>
      <w:r>
        <w:rPr>
          <w:rFonts w:hint="eastAsia" w:ascii="宋体" w:hAnsi="宋体" w:cs="宋体"/>
          <w:color w:val="000000" w:themeColor="text1"/>
          <w:sz w:val="24"/>
          <w:highlight w:val="none"/>
          <w14:textFill>
            <w14:solidFill>
              <w14:schemeClr w14:val="tx1"/>
            </w14:solidFill>
          </w14:textFill>
        </w:rPr>
        <w:t xml:space="preserve">苏采云系统</w:t>
      </w:r>
      <w:r>
        <w:rPr>
          <w:rFonts w:hint="eastAsia" w:ascii="宋体" w:hAnsi="宋体" w:cs="宋体"/>
          <w:bCs/>
          <w:color w:val="000000" w:themeColor="text1"/>
          <w:sz w:val="24"/>
          <w:szCs w:val="21"/>
          <w:highlight w:val="none"/>
          <w14:textFill>
            <w14:solidFill>
              <w14:schemeClr w14:val="tx1"/>
            </w14:solidFill>
          </w14:textFill>
        </w:rPr>
        <w:t xml:space="preserve">规定的时间内未成功解密电子投标文件的。</w:t>
      </w:r>
      <w:r/>
    </w:p>
    <w:p>
      <w:pPr>
        <w:spacing w:line="400" w:lineRule="exact"/>
        <w:rPr>
          <w:rFonts w:ascii="宋体" w:hAnsi="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25.1.2 投标人未按照招标文件要求上传电子投标文件的。</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25.1.3投标人同一采购包提交两个（含两个）以上不同的投标报价的。</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25.1.4投标人不具备招标文件中规定资格要求的。</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25.1.5投标人的报价超过了采购预算或最高限价的。</w:t>
      </w:r>
      <w:r/>
    </w:p>
    <w:p>
      <w:pPr>
        <w:spacing w:before="57" w:line="400" w:lineRule="exact"/>
        <w:rPr>
          <w:rFonts w:ascii="宋体" w:hAnsi="宋体" w:cs="宋体"/>
          <w:bCs/>
          <w:i/>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25.1.6未通过符合性审查的。</w:t>
      </w:r>
      <w:r/>
    </w:p>
    <w:p>
      <w:pPr>
        <w:spacing w:before="57" w:line="400" w:lineRule="exact"/>
        <w:rPr>
          <w:rFonts w:ascii="宋体" w:hAnsi="宋体" w:cs="宋体"/>
          <w:bCs/>
          <w:i/>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25.1.7不符合招标文件中规定的实质性要求的</w:t>
      </w:r>
      <w:bookmarkStart w:id="198" w:name="_Hlk185331020"/>
      <w:r>
        <w:rPr>
          <w:rFonts w:hint="eastAsia" w:ascii="宋体" w:hAnsi="宋体" w:cs="宋体"/>
          <w:b/>
          <w:color w:val="000000" w:themeColor="text1"/>
          <w:sz w:val="24"/>
          <w:highlight w:val="none"/>
          <w14:textFill>
            <w14:solidFill>
              <w14:schemeClr w14:val="tx1"/>
            </w14:solidFill>
          </w14:textFill>
        </w:rPr>
        <w:t xml:space="preserve">（</w:t>
      </w:r>
      <w:bookmarkStart w:id="199" w:name="_Hlk185331009"/>
      <w:r>
        <w:rPr>
          <w:rFonts w:hint="eastAsia" w:ascii="宋体" w:hAnsi="宋体" w:cs="宋体"/>
          <w:b/>
          <w:color w:val="000000" w:themeColor="text1"/>
          <w:sz w:val="24"/>
          <w:highlight w:val="none"/>
          <w14:textFill>
            <w14:solidFill>
              <w14:schemeClr w14:val="tx1"/>
            </w14:solidFill>
          </w14:textFill>
        </w:rPr>
        <w:t xml:space="preserve">本招标文件中</w:t>
      </w:r>
      <w:r>
        <w:rPr>
          <w:rFonts w:hint="eastAsia" w:ascii="宋体" w:hAnsi="宋体" w:cs="宋体"/>
          <w:b/>
          <w:i/>
          <w:iCs/>
          <w:color w:val="000000" w:themeColor="text1"/>
          <w:sz w:val="24"/>
          <w:highlight w:val="none"/>
          <w:u w:val="single"/>
          <w14:textFill>
            <w14:solidFill>
              <w14:schemeClr w14:val="tx1"/>
            </w14:solidFill>
          </w14:textFill>
        </w:rPr>
        <w:t xml:space="preserve">斜体且有下划线内容</w:t>
      </w:r>
      <w:bookmarkStart w:id="200" w:name="_Hlk185331222"/>
      <w:r>
        <w:rPr>
          <w:rFonts w:hint="eastAsia" w:ascii="宋体" w:hAnsi="宋体" w:cs="宋体"/>
          <w:b/>
          <w:color w:val="000000" w:themeColor="text1"/>
          <w:sz w:val="24"/>
          <w:highlight w:val="none"/>
          <w14:textFill>
            <w14:solidFill>
              <w14:schemeClr w14:val="tx1"/>
            </w14:solidFill>
          </w14:textFill>
        </w:rPr>
        <w:t xml:space="preserve">或标★内容为实质性要求</w:t>
      </w:r>
      <w:bookmarkEnd w:id="200"/>
      <w:r>
        <w:rPr>
          <w:rFonts w:hint="eastAsia" w:ascii="宋体" w:hAnsi="宋体" w:cs="宋体"/>
          <w:b/>
          <w:color w:val="000000" w:themeColor="text1"/>
          <w:sz w:val="24"/>
          <w:highlight w:val="none"/>
          <w14:textFill>
            <w14:solidFill>
              <w14:schemeClr w14:val="tx1"/>
            </w14:solidFill>
          </w14:textFill>
        </w:rPr>
        <w:t xml:space="preserve">）。</w:t>
      </w:r>
      <w:bookmarkEnd w:id="199"/>
      <w:r/>
      <w:bookmarkEnd w:id="198"/>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25.1.8投标人被 “信用中国”列入失信被执行人或重大税收违法失信主体名单或政府采购严重失信行为记录名单。或查询“信用中国”网站后发现投标人存在其他不符合《中华人民共和国政府采购法》第二十二条规定条件的信用记录。</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25.1.9投标文件含有采购人不能接受的附加条件的。</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25.1.</w:t>
      </w:r>
      <w:bookmarkStart w:id="201" w:name="_Hlk204691767"/>
      <w:r>
        <w:rPr>
          <w:rFonts w:hint="eastAsia" w:ascii="宋体" w:hAnsi="宋体" w:cs="宋体"/>
          <w:bCs/>
          <w:color w:val="000000" w:themeColor="text1"/>
          <w:sz w:val="24"/>
          <w:highlight w:val="none"/>
          <w14:textFill>
            <w14:solidFill>
              <w14:schemeClr w14:val="tx1"/>
            </w14:solidFill>
          </w14:textFill>
        </w:rPr>
        <w:t xml:space="preserve">10评标委员会</w:t>
      </w:r>
      <w:r>
        <w:rPr>
          <w:rFonts w:hint="eastAsia" w:ascii="宋体" w:hAnsi="宋体" w:cs="宋体"/>
          <w:color w:val="000000" w:themeColor="text1"/>
          <w:sz w:val="24"/>
          <w:szCs w:val="21"/>
          <w:highlight w:val="none"/>
          <w14:textFill>
            <w14:solidFill>
              <w14:schemeClr w14:val="tx1"/>
            </w14:solidFill>
          </w14:textFill>
        </w:rPr>
        <w:t xml:space="preserve">按照本招标文件规定对投标人进行异常低价投标审查后，</w:t>
      </w:r>
      <w:r>
        <w:rPr>
          <w:rFonts w:hint="eastAsia" w:ascii="宋体" w:hAnsi="宋体" w:cs="宋体"/>
          <w:bCs/>
          <w:color w:val="000000" w:themeColor="text1"/>
          <w:sz w:val="24"/>
          <w:highlight w:val="none"/>
          <w14:textFill>
            <w14:solidFill>
              <w14:schemeClr w14:val="tx1"/>
            </w14:solidFill>
          </w14:textFill>
        </w:rPr>
        <w:t xml:space="preserve">认为投标人不能证明其报价合理性的。</w:t>
      </w:r>
      <w:bookmarkEnd w:id="201"/>
      <w:r/>
      <w:r/>
    </w:p>
    <w:p>
      <w:pPr>
        <w:spacing w:before="57"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25.1.11如本项目采购产品被财政部、国家发改委列入“节能产品品目清单”强制采购范围，而投标人所投标产品不在强制采购范围内的。</w:t>
      </w:r>
      <w:r>
        <w:rPr>
          <w:rFonts w:hint="eastAsia" w:ascii="宋体" w:hAnsi="宋体" w:cs="宋体"/>
          <w:b/>
          <w:color w:val="000000" w:themeColor="text1"/>
          <w:sz w:val="24"/>
          <w:highlight w:val="none"/>
          <w14:textFill>
            <w14:solidFill>
              <w14:schemeClr w14:val="tx1"/>
            </w14:solidFill>
          </w14:textFill>
        </w:rPr>
        <w:t xml:space="preserve">（投标产品如属于政府强制采购节能产品品目清单范围内，投标文件中必须提供国家确定的认证机构出具的、处于有效期之内的该节能产品认证证书图片）</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25.1.12投标文件未按照招标文件要求盖章的。</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25.1.13投标人所投标产品不符合招标文件中所列国家强制性标准的。</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25.1.14其他法律、法规及本招标文件规定的属无效投标的情形。</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25.2废标条款：</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25.2.1符合专业条件的供应商或者对招标文件作实质响应的供应商不足三家的。</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25.2.2出现影响采购公正的违法、违规行为的。</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25.2.3因重大变故，采购任务取消的。</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25.2.4评标委员会认定招标文件存在歧义、重大缺陷导致评审工作无法进行。</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25.2.5 因苏采云系统故障原因造成开标不成功的。  </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25.3 投标截止时间结束后参加投标的供应商不足三家的处理：</w:t>
      </w:r>
      <w:r/>
    </w:p>
    <w:p>
      <w:pPr>
        <w:spacing w:before="57"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25.3.1如出现投标截止时间结束后参加投标的供应商或者在评标期间对招标文件做出实质响应的供应商不足三家情况，按政府采购相关规定执行。</w:t>
      </w:r>
      <w:r/>
    </w:p>
    <w:p>
      <w:pPr>
        <w:spacing w:before="57"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26  </w:t>
      </w:r>
      <w:r>
        <w:rPr>
          <w:rFonts w:hint="eastAsia" w:ascii="宋体" w:hAnsi="宋体" w:cs="宋体"/>
          <w:bCs/>
          <w:color w:val="000000" w:themeColor="text1"/>
          <w:sz w:val="24"/>
          <w:highlight w:val="none"/>
          <w14:textFill>
            <w14:solidFill>
              <w14:schemeClr w14:val="tx1"/>
            </w14:solidFill>
          </w14:textFill>
        </w:rPr>
        <w:t xml:space="preserve">根据财库【2020】46号《政府采购促进中小企业发展管理办法》中的规定，对小型和微型企业产品的价格给予5%的扣除，用扣除后价格参与评审。本项目属于施工类，本项目所属行业：建筑业。</w:t>
      </w:r>
      <w:r/>
    </w:p>
    <w:p>
      <w:pPr>
        <w:pStyle w:val="846"/>
        <w:spacing w:before="286" w:after="143" w:line="400" w:lineRule="exact"/>
        <w:rPr>
          <w:rFonts w:ascii="宋体" w:hAnsi="宋体" w:eastAsia="宋体" w:cs="宋体"/>
          <w:color w:val="000000" w:themeColor="text1"/>
          <w:sz w:val="32"/>
          <w:szCs w:val="32"/>
          <w:highlight w:val="none"/>
          <w:lang w:eastAsia="zh-CN"/>
          <w14:textFill>
            <w14:solidFill>
              <w14:schemeClr w14:val="tx1"/>
            </w14:solidFill>
          </w14:textFill>
        </w:rPr>
      </w:pPr>
      <w:r/>
      <w:bookmarkStart w:id="202" w:name="_Toc12887266"/>
      <w:r/>
      <w:bookmarkStart w:id="203" w:name="_Toc9363431"/>
      <w:r/>
      <w:bookmarkStart w:id="204" w:name="_Toc226126999"/>
      <w:r/>
      <w:bookmarkStart w:id="205" w:name="_Toc12708976"/>
      <w:r/>
      <w:bookmarkStart w:id="206" w:name="_Toc120614219"/>
      <w:r/>
      <w:bookmarkStart w:id="207" w:name="_Toc8485117"/>
      <w:r>
        <w:rPr>
          <w:rFonts w:hint="eastAsia" w:ascii="宋体" w:hAnsi="宋体" w:eastAsia="宋体" w:cs="宋体"/>
          <w:color w:val="000000" w:themeColor="text1"/>
          <w:sz w:val="32"/>
          <w:szCs w:val="32"/>
          <w:highlight w:val="none"/>
          <w:lang w:eastAsia="zh-CN"/>
          <w14:textFill>
            <w14:solidFill>
              <w14:schemeClr w14:val="tx1"/>
            </w14:solidFill>
          </w14:textFill>
        </w:rPr>
        <w:t xml:space="preserve">六、</w:t>
      </w:r>
      <w:bookmarkEnd w:id="195"/>
      <w:r/>
      <w:bookmarkEnd w:id="196"/>
      <w:r/>
      <w:bookmarkEnd w:id="197"/>
      <w:r>
        <w:rPr>
          <w:rFonts w:hint="eastAsia" w:ascii="宋体" w:hAnsi="宋体" w:eastAsia="宋体" w:cs="宋体"/>
          <w:color w:val="000000" w:themeColor="text1"/>
          <w:sz w:val="32"/>
          <w:szCs w:val="32"/>
          <w:highlight w:val="none"/>
          <w:lang w:eastAsia="zh-CN"/>
          <w14:textFill>
            <w14:solidFill>
              <w14:schemeClr w14:val="tx1"/>
            </w14:solidFill>
          </w14:textFill>
        </w:rPr>
        <w:t xml:space="preserve">定标</w:t>
      </w:r>
      <w:bookmarkEnd w:id="202"/>
      <w:r/>
      <w:bookmarkEnd w:id="203"/>
      <w:r/>
      <w:bookmarkEnd w:id="204"/>
      <w:r/>
      <w:bookmarkEnd w:id="205"/>
      <w:r/>
      <w:bookmarkEnd w:id="206"/>
      <w:r/>
      <w:bookmarkEnd w:id="207"/>
      <w:r/>
      <w:r/>
    </w:p>
    <w:p>
      <w:pPr>
        <w:pStyle w:val="848"/>
        <w:spacing w:before="57" w:after="0" w:line="400" w:lineRule="exact"/>
        <w:rPr>
          <w:rFonts w:ascii="宋体" w:hAnsi="宋体" w:cs="宋体"/>
          <w:color w:val="000000" w:themeColor="text1"/>
          <w:sz w:val="24"/>
          <w:szCs w:val="24"/>
          <w:highlight w:val="none"/>
          <w:lang w:eastAsia="zh-CN"/>
          <w14:textFill>
            <w14:solidFill>
              <w14:schemeClr w14:val="tx1"/>
            </w14:solidFill>
          </w14:textFill>
        </w:rPr>
      </w:pPr>
      <w:r/>
      <w:bookmarkStart w:id="208" w:name="_Toc513029238"/>
      <w:r/>
      <w:bookmarkStart w:id="209" w:name="_Toc16938554"/>
      <w:r/>
      <w:bookmarkStart w:id="210" w:name="_Toc20823310"/>
      <w:r>
        <w:rPr>
          <w:rFonts w:hint="eastAsia" w:ascii="宋体" w:hAnsi="宋体" w:cs="宋体"/>
          <w:color w:val="000000" w:themeColor="text1"/>
          <w:sz w:val="24"/>
          <w:szCs w:val="24"/>
          <w:highlight w:val="none"/>
          <w:lang w:val="en-US" w:eastAsia="zh-CN"/>
          <w14:textFill>
            <w14:solidFill>
              <w14:schemeClr w14:val="tx1"/>
            </w14:solidFill>
          </w14:textFill>
        </w:rPr>
        <w:t xml:space="preserve">27</w:t>
      </w:r>
      <w:r>
        <w:rPr>
          <w:rFonts w:hint="eastAsia" w:ascii="宋体" w:hAnsi="宋体" w:cs="宋体"/>
          <w:color w:val="000000" w:themeColor="text1"/>
          <w:sz w:val="24"/>
          <w:szCs w:val="24"/>
          <w:highlight w:val="none"/>
          <w:lang w:eastAsia="zh-CN"/>
          <w14:textFill>
            <w14:solidFill>
              <w14:schemeClr w14:val="tx1"/>
            </w14:solidFill>
          </w14:textFill>
        </w:rPr>
        <w:t xml:space="preserve">、</w:t>
      </w:r>
      <w:bookmarkEnd w:id="208"/>
      <w:r>
        <w:rPr>
          <w:rFonts w:hint="eastAsia" w:ascii="宋体" w:hAnsi="宋体" w:cs="宋体"/>
          <w:color w:val="000000" w:themeColor="text1"/>
          <w:sz w:val="24"/>
          <w:szCs w:val="24"/>
          <w:highlight w:val="none"/>
          <w:lang w:eastAsia="zh-CN"/>
          <w14:textFill>
            <w14:solidFill>
              <w14:schemeClr w14:val="tx1"/>
            </w14:solidFill>
          </w14:textFill>
        </w:rPr>
        <w:t xml:space="preserve">确定</w:t>
      </w:r>
      <w:bookmarkEnd w:id="209"/>
      <w:r/>
      <w:bookmarkEnd w:id="210"/>
      <w:r>
        <w:rPr>
          <w:rFonts w:hint="eastAsia" w:ascii="宋体" w:hAnsi="宋体" w:cs="宋体"/>
          <w:color w:val="000000" w:themeColor="text1"/>
          <w:sz w:val="24"/>
          <w:szCs w:val="24"/>
          <w:highlight w:val="none"/>
          <w:lang w:eastAsia="zh-CN"/>
          <w14:textFill>
            <w14:solidFill>
              <w14:schemeClr w14:val="tx1"/>
            </w14:solidFill>
          </w14:textFill>
        </w:rPr>
        <w:t xml:space="preserve">中标单位</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27</w:t>
      </w:r>
      <w:r>
        <w:rPr>
          <w:rFonts w:hint="eastAsia" w:ascii="宋体" w:hAnsi="宋体" w:cs="宋体"/>
          <w:bCs/>
          <w:color w:val="000000" w:themeColor="text1"/>
          <w:sz w:val="24"/>
          <w:highlight w:val="none"/>
          <w14:textFill>
            <w14:solidFill>
              <w14:schemeClr w14:val="tx1"/>
            </w14:solidFill>
          </w14:textFill>
        </w:rPr>
        <w:t xml:space="preserve">.1中标候选人的选取原则和数量见招标文件第四章规定。</w:t>
      </w:r>
      <w:r/>
    </w:p>
    <w:p>
      <w:pPr>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27</w:t>
      </w:r>
      <w:r>
        <w:rPr>
          <w:rFonts w:hint="eastAsia" w:ascii="宋体" w:hAnsi="宋体" w:cs="宋体"/>
          <w:bCs/>
          <w:color w:val="000000" w:themeColor="text1"/>
          <w:sz w:val="24"/>
          <w:highlight w:val="none"/>
          <w14:textFill>
            <w14:solidFill>
              <w14:schemeClr w14:val="tx1"/>
            </w14:solidFill>
          </w14:textFill>
        </w:rPr>
        <w:t xml:space="preserve">.2 采购人应根据评标委员会推荐的中标候选人确定中标供应商。</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27</w:t>
      </w:r>
      <w:r>
        <w:rPr>
          <w:rFonts w:hint="eastAsia" w:ascii="宋体" w:hAnsi="宋体" w:cs="宋体"/>
          <w:bCs/>
          <w:color w:val="000000" w:themeColor="text1"/>
          <w:sz w:val="24"/>
          <w:highlight w:val="none"/>
          <w14:textFill>
            <w14:solidFill>
              <w14:schemeClr w14:val="tx1"/>
            </w14:solidFill>
          </w14:textFill>
        </w:rPr>
        <w:t xml:space="preserve">.3 代理机构</w:t>
      </w:r>
      <w:r>
        <w:rPr>
          <w:rFonts w:hint="eastAsia" w:ascii="宋体" w:hAnsi="宋体" w:cs="宋体"/>
          <w:color w:val="000000" w:themeColor="text1"/>
          <w:sz w:val="24"/>
          <w:highlight w:val="none"/>
          <w14:textFill>
            <w14:solidFill>
              <w14:schemeClr w14:val="tx1"/>
            </w14:solidFill>
          </w14:textFill>
        </w:rPr>
        <w:t xml:space="preserve">将在本项目招标文件第一章规定的公告发布媒体上发布中标公告，公告期限为1个工作日。</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27</w:t>
      </w:r>
      <w:r>
        <w:rPr>
          <w:rFonts w:hint="eastAsia" w:ascii="宋体" w:hAnsi="宋体" w:cs="宋体"/>
          <w:color w:val="000000" w:themeColor="text1"/>
          <w:sz w:val="24"/>
          <w:highlight w:val="none"/>
          <w14:textFill>
            <w14:solidFill>
              <w14:schemeClr w14:val="tx1"/>
            </w14:solidFill>
          </w14:textFill>
        </w:rPr>
        <w:t xml:space="preserve">.4  若有充分证据证明，中标供应商出现下列情况之一的，一经查实，将被取消中标资格：</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27</w:t>
      </w:r>
      <w:r>
        <w:rPr>
          <w:rFonts w:hint="eastAsia" w:ascii="宋体" w:hAnsi="宋体" w:cs="宋体"/>
          <w:color w:val="000000" w:themeColor="text1"/>
          <w:sz w:val="24"/>
          <w:highlight w:val="none"/>
          <w14:textFill>
            <w14:solidFill>
              <w14:schemeClr w14:val="tx1"/>
            </w14:solidFill>
          </w14:textFill>
        </w:rPr>
        <w:t xml:space="preserve">.4.1提供虚假材料谋取中标的。</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27</w:t>
      </w:r>
      <w:r>
        <w:rPr>
          <w:rFonts w:hint="eastAsia" w:ascii="宋体" w:hAnsi="宋体" w:cs="宋体"/>
          <w:color w:val="000000" w:themeColor="text1"/>
          <w:sz w:val="24"/>
          <w:highlight w:val="none"/>
          <w14:textFill>
            <w14:solidFill>
              <w14:schemeClr w14:val="tx1"/>
            </w14:solidFill>
          </w14:textFill>
        </w:rPr>
        <w:t xml:space="preserve">.4.2向采购人、代理机构行贿或者提供其他不正当利益的。</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27</w:t>
      </w:r>
      <w:r>
        <w:rPr>
          <w:rFonts w:hint="eastAsia" w:ascii="宋体" w:hAnsi="宋体" w:cs="宋体"/>
          <w:color w:val="000000" w:themeColor="text1"/>
          <w:sz w:val="24"/>
          <w:highlight w:val="none"/>
          <w14:textFill>
            <w14:solidFill>
              <w14:schemeClr w14:val="tx1"/>
            </w14:solidFill>
          </w14:textFill>
        </w:rPr>
        <w:t xml:space="preserve">.4.3属于本文件规定的无效条件，但在评标过程中又未被</w:t>
      </w:r>
      <w:r>
        <w:rPr>
          <w:rFonts w:hint="eastAsia" w:ascii="宋体" w:hAnsi="宋体" w:cs="宋体"/>
          <w:bCs/>
          <w:color w:val="000000" w:themeColor="text1"/>
          <w:sz w:val="24"/>
          <w:highlight w:val="none"/>
          <w14:textFill>
            <w14:solidFill>
              <w14:schemeClr w14:val="tx1"/>
            </w14:solidFill>
          </w14:textFill>
        </w:rPr>
        <w:t xml:space="preserve">评标委员会</w:t>
      </w:r>
      <w:r>
        <w:rPr>
          <w:rFonts w:hint="eastAsia" w:ascii="宋体" w:hAnsi="宋体" w:cs="宋体"/>
          <w:color w:val="000000" w:themeColor="text1"/>
          <w:sz w:val="24"/>
          <w:highlight w:val="none"/>
          <w14:textFill>
            <w14:solidFill>
              <w14:schemeClr w14:val="tx1"/>
            </w14:solidFill>
          </w14:textFill>
        </w:rPr>
        <w:t xml:space="preserve">发现的。</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27</w:t>
      </w:r>
      <w:r>
        <w:rPr>
          <w:rFonts w:hint="eastAsia" w:ascii="宋体" w:hAnsi="宋体" w:cs="宋体"/>
          <w:color w:val="000000" w:themeColor="text1"/>
          <w:sz w:val="24"/>
          <w:highlight w:val="none"/>
          <w14:textFill>
            <w14:solidFill>
              <w14:schemeClr w14:val="tx1"/>
            </w14:solidFill>
          </w14:textFill>
        </w:rPr>
        <w:t xml:space="preserve">.4.4与采购人或者其他供应商恶意串通的。</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27</w:t>
      </w:r>
      <w:r>
        <w:rPr>
          <w:rFonts w:hint="eastAsia" w:ascii="宋体" w:hAnsi="宋体" w:cs="宋体"/>
          <w:color w:val="000000" w:themeColor="text1"/>
          <w:sz w:val="24"/>
          <w:highlight w:val="none"/>
          <w14:textFill>
            <w14:solidFill>
              <w14:schemeClr w14:val="tx1"/>
            </w14:solidFill>
          </w14:textFill>
        </w:rPr>
        <w:t xml:space="preserve">.4.5采取不正当手段诋毁、排挤其他供应商的。</w:t>
      </w:r>
      <w:r/>
    </w:p>
    <w:p>
      <w:pPr>
        <w:spacing w:before="57" w:line="400" w:lineRule="exact"/>
        <w:rPr>
          <w:rFonts w:ascii="宋体" w:hAnsi="宋体" w:cs="宋体"/>
          <w:color w:val="000000" w:themeColor="text1"/>
          <w:sz w:val="24"/>
          <w:highlight w:val="none"/>
          <w14:textFill>
            <w14:solidFill>
              <w14:schemeClr w14:val="tx1"/>
            </w14:solidFill>
          </w14:textFill>
        </w:rPr>
      </w:pPr>
      <w:r/>
      <w:bookmarkStart w:id="211" w:name="_Toc200451960"/>
      <w:r>
        <w:rPr>
          <w:rFonts w:hint="eastAsia" w:ascii="宋体" w:hAnsi="宋体" w:cs="宋体"/>
          <w:bCs/>
          <w:color w:val="000000" w:themeColor="text1"/>
          <w:sz w:val="24"/>
          <w:highlight w:val="none"/>
          <w:lang w:val="en-US" w:eastAsia="zh-CN"/>
          <w14:textFill>
            <w14:solidFill>
              <w14:schemeClr w14:val="tx1"/>
            </w14:solidFill>
          </w14:textFill>
        </w:rPr>
        <w:t xml:space="preserve">27</w:t>
      </w:r>
      <w:r>
        <w:rPr>
          <w:rFonts w:hint="eastAsia" w:ascii="宋体" w:hAnsi="宋体" w:cs="宋体"/>
          <w:color w:val="000000" w:themeColor="text1"/>
          <w:sz w:val="24"/>
          <w:highlight w:val="none"/>
          <w14:textFill>
            <w14:solidFill>
              <w14:schemeClr w14:val="tx1"/>
            </w14:solidFill>
          </w14:textFill>
        </w:rPr>
        <w:t xml:space="preserve">.5. 有下列情形之一的，视为投标人串通投标，投标无效：</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27</w:t>
      </w:r>
      <w:r>
        <w:rPr>
          <w:rFonts w:hint="eastAsia" w:ascii="宋体" w:hAnsi="宋体" w:cs="宋体"/>
          <w:color w:val="000000" w:themeColor="text1"/>
          <w:sz w:val="24"/>
          <w:highlight w:val="none"/>
          <w14:textFill>
            <w14:solidFill>
              <w14:schemeClr w14:val="tx1"/>
            </w14:solidFill>
          </w14:textFill>
        </w:rPr>
        <w:t xml:space="preserve">.5.1不同投标人的投标文件由同一单位或者个人编制。</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27</w:t>
      </w:r>
      <w:r>
        <w:rPr>
          <w:rFonts w:hint="eastAsia" w:ascii="宋体" w:hAnsi="宋体" w:cs="宋体"/>
          <w:color w:val="000000" w:themeColor="text1"/>
          <w:sz w:val="24"/>
          <w:highlight w:val="none"/>
          <w14:textFill>
            <w14:solidFill>
              <w14:schemeClr w14:val="tx1"/>
            </w14:solidFill>
          </w14:textFill>
        </w:rPr>
        <w:t xml:space="preserve">.5.2不同投标人委托同一单位或者个人办理投标事宜。</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27</w:t>
      </w:r>
      <w:r>
        <w:rPr>
          <w:rFonts w:hint="eastAsia" w:ascii="宋体" w:hAnsi="宋体" w:cs="宋体"/>
          <w:color w:val="000000" w:themeColor="text1"/>
          <w:sz w:val="24"/>
          <w:highlight w:val="none"/>
          <w14:textFill>
            <w14:solidFill>
              <w14:schemeClr w14:val="tx1"/>
            </w14:solidFill>
          </w14:textFill>
        </w:rPr>
        <w:t xml:space="preserve">.5.3 不同投标人的投标文件载明的项目管理成员或者联系人员为同一人。</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27</w:t>
      </w:r>
      <w:r>
        <w:rPr>
          <w:rFonts w:hint="eastAsia" w:ascii="宋体" w:hAnsi="宋体" w:cs="宋体"/>
          <w:color w:val="000000" w:themeColor="text1"/>
          <w:sz w:val="24"/>
          <w:highlight w:val="none"/>
          <w14:textFill>
            <w14:solidFill>
              <w14:schemeClr w14:val="tx1"/>
            </w14:solidFill>
          </w14:textFill>
        </w:rPr>
        <w:t xml:space="preserve">.5.4不同投标人的投标文件异常一致或者投标报价呈规律性差异。</w:t>
      </w:r>
      <w:r/>
    </w:p>
    <w:p>
      <w:pPr>
        <w:pStyle w:val="848"/>
        <w:spacing w:before="57" w:after="0" w:line="400" w:lineRule="exact"/>
        <w:rPr>
          <w:rFonts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lang w:eastAsia="zh-CN"/>
          <w14:textFill>
            <w14:solidFill>
              <w14:schemeClr w14:val="tx1"/>
            </w14:solidFill>
          </w14:textFill>
        </w:rPr>
        <w:t xml:space="preserve">、质疑处理</w:t>
      </w:r>
      <w:bookmarkEnd w:id="211"/>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28</w:t>
      </w:r>
      <w:r>
        <w:rPr>
          <w:rFonts w:hint="eastAsia" w:ascii="宋体" w:hAnsi="宋体" w:cs="宋体"/>
          <w:color w:val="000000" w:themeColor="text1"/>
          <w:sz w:val="24"/>
          <w:highlight w:val="none"/>
          <w14:textFill>
            <w14:solidFill>
              <w14:schemeClr w14:val="tx1"/>
            </w14:solidFill>
          </w14:textFill>
        </w:rPr>
        <w:t xml:space="preserve">.1 提出质疑的供应商应当是参与所质疑项目采购活动的供应商。潜在供应商依法获取其可质疑的采购文件的，可以对采购文件提出质疑。</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28</w:t>
      </w:r>
      <w:r>
        <w:rPr>
          <w:rFonts w:hint="eastAsia" w:ascii="宋体" w:hAnsi="宋体" w:cs="宋体"/>
          <w:color w:val="000000" w:themeColor="text1"/>
          <w:sz w:val="24"/>
          <w:highlight w:val="none"/>
          <w14:textFill>
            <w14:solidFill>
              <w14:schemeClr w14:val="tx1"/>
            </w14:solidFill>
          </w14:textFill>
        </w:rPr>
        <w:t xml:space="preserve">.2供应商认为采购文件、采购过程和采购结果使自己的权益受到损害的，可以在知道或应知其权益受到损害之日起七个工作日内，以书面形式向</w:t>
      </w:r>
      <w:r>
        <w:rPr>
          <w:rFonts w:hint="eastAsia" w:ascii="宋体" w:hAnsi="宋体" w:cs="宋体"/>
          <w:bCs/>
          <w:color w:val="000000" w:themeColor="text1"/>
          <w:sz w:val="24"/>
          <w:highlight w:val="none"/>
          <w14:textFill>
            <w14:solidFill>
              <w14:schemeClr w14:val="tx1"/>
            </w14:solidFill>
          </w14:textFill>
        </w:rPr>
        <w:t xml:space="preserve">代理机构</w:t>
      </w:r>
      <w:r>
        <w:rPr>
          <w:rFonts w:hint="eastAsia" w:ascii="宋体" w:hAnsi="宋体" w:cs="宋体"/>
          <w:color w:val="000000" w:themeColor="text1"/>
          <w:sz w:val="24"/>
          <w:highlight w:val="none"/>
          <w14:textFill>
            <w14:solidFill>
              <w14:schemeClr w14:val="tx1"/>
            </w14:solidFill>
          </w14:textFill>
        </w:rPr>
        <w:t xml:space="preserve">提出质疑。上述应知其权益受到损害之日，是指：</w:t>
      </w:r>
      <w:r/>
    </w:p>
    <w:p>
      <w:pPr>
        <w:jc w:val="left"/>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28</w:t>
      </w:r>
      <w:r>
        <w:rPr>
          <w:rFonts w:hint="eastAsia" w:ascii="宋体" w:hAnsi="宋体" w:cs="宋体"/>
          <w:color w:val="000000" w:themeColor="text1"/>
          <w:sz w:val="24"/>
          <w:highlight w:val="none"/>
          <w14:textFill>
            <w14:solidFill>
              <w14:schemeClr w14:val="tx1"/>
            </w14:solidFill>
          </w14:textFill>
        </w:rPr>
        <w:t xml:space="preserve">.2.1对可以质疑的采购文件提出质疑的，为收到采购文件之日或者采购文件公告期限届满之日；</w:t>
      </w:r>
      <w:r>
        <w:rPr>
          <w:rFonts w:hint="eastAsia" w:ascii="宋体" w:hAnsi="宋体" w:cs="宋体"/>
          <w:color w:val="000000" w:themeColor="text1"/>
          <w:sz w:val="24"/>
          <w:highlight w:val="none"/>
          <w14:textFill>
            <w14:solidFill>
              <w14:schemeClr w14:val="tx1"/>
            </w14:solidFill>
          </w14:textFill>
        </w:rPr>
        <w:br w:type="textWrapping" w:clear="all"/>
      </w:r>
      <w:r>
        <w:rPr>
          <w:rFonts w:hint="eastAsia" w:ascii="宋体" w:hAnsi="宋体" w:cs="宋体"/>
          <w:color w:val="000000" w:themeColor="text1"/>
          <w:sz w:val="24"/>
          <w:highlight w:val="none"/>
          <w:lang w:val="en-US" w:eastAsia="zh-CN"/>
          <w14:textFill>
            <w14:solidFill>
              <w14:schemeClr w14:val="tx1"/>
            </w14:solidFill>
          </w14:textFill>
        </w:rPr>
        <w:t xml:space="preserve">28</w:t>
      </w:r>
      <w:r>
        <w:rPr>
          <w:rFonts w:hint="eastAsia" w:ascii="宋体" w:hAnsi="宋体" w:cs="宋体"/>
          <w:color w:val="000000" w:themeColor="text1"/>
          <w:sz w:val="24"/>
          <w:highlight w:val="none"/>
          <w14:textFill>
            <w14:solidFill>
              <w14:schemeClr w14:val="tx1"/>
            </w14:solidFill>
          </w14:textFill>
        </w:rPr>
        <w:t xml:space="preserve">.2.2对采购过程提出质疑的，为各采购程序环节结束之日；</w:t>
      </w:r>
      <w:r>
        <w:rPr>
          <w:rFonts w:hint="eastAsia" w:ascii="宋体" w:hAnsi="宋体" w:cs="宋体"/>
          <w:color w:val="000000" w:themeColor="text1"/>
          <w:sz w:val="24"/>
          <w:highlight w:val="none"/>
          <w14:textFill>
            <w14:solidFill>
              <w14:schemeClr w14:val="tx1"/>
            </w14:solidFill>
          </w14:textFill>
        </w:rPr>
        <w:br w:type="textWrapping" w:clear="all"/>
      </w:r>
      <w:r>
        <w:rPr>
          <w:rFonts w:hint="eastAsia" w:ascii="宋体" w:hAnsi="宋体" w:cs="宋体"/>
          <w:color w:val="000000" w:themeColor="text1"/>
          <w:sz w:val="24"/>
          <w:highlight w:val="none"/>
          <w:lang w:val="en-US" w:eastAsia="zh-CN"/>
          <w14:textFill>
            <w14:solidFill>
              <w14:schemeClr w14:val="tx1"/>
            </w14:solidFill>
          </w14:textFill>
        </w:rPr>
        <w:t xml:space="preserve">28</w:t>
      </w:r>
      <w:r>
        <w:rPr>
          <w:rFonts w:hint="eastAsia" w:ascii="宋体" w:hAnsi="宋体" w:cs="宋体"/>
          <w:color w:val="000000" w:themeColor="text1"/>
          <w:sz w:val="24"/>
          <w:highlight w:val="none"/>
          <w14:textFill>
            <w14:solidFill>
              <w14:schemeClr w14:val="tx1"/>
            </w14:solidFill>
          </w14:textFill>
        </w:rPr>
        <w:t xml:space="preserve">.2.3对中标或者成交结果提出质疑的，为中标或者成交结果公告期限届满之日。</w:t>
      </w:r>
      <w:r/>
    </w:p>
    <w:p>
      <w:pPr>
        <w:jc w:val="left"/>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28</w:t>
      </w:r>
      <w:r>
        <w:rPr>
          <w:rFonts w:hint="eastAsia" w:ascii="宋体" w:hAnsi="宋体" w:cs="宋体"/>
          <w:color w:val="000000" w:themeColor="text1"/>
          <w:sz w:val="24"/>
          <w:highlight w:val="none"/>
          <w14:textFill>
            <w14:solidFill>
              <w14:schemeClr w14:val="tx1"/>
            </w14:solidFill>
          </w14:textFill>
        </w:rPr>
        <w:t xml:space="preserve">.3供应商应当在法定质疑期内一次性提出针对同一采购程序环节的质疑。供应商如在法定期限内对同一采购程序环节提出多次质疑的，代理机构将只对供应商第一次质疑作出答复。</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28</w:t>
      </w:r>
      <w:r>
        <w:rPr>
          <w:rFonts w:hint="eastAsia" w:ascii="宋体" w:hAnsi="宋体" w:cs="宋体"/>
          <w:color w:val="000000" w:themeColor="text1"/>
          <w:sz w:val="24"/>
          <w:highlight w:val="none"/>
          <w14:textFill>
            <w14:solidFill>
              <w14:schemeClr w14:val="tx1"/>
            </w14:solidFill>
          </w14:textFill>
        </w:rPr>
        <w:t xml:space="preserve">.4质疑函必须按照本招标文件中《质疑函范本》要求的格式和内容进行填写。供应商如组成联合体参加投标，则《质疑函范本》中要求签字、盖章，加盖公章之处，联合体各方均须按要求签字、盖章，加盖公章。</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28</w:t>
      </w:r>
      <w:r>
        <w:rPr>
          <w:rFonts w:hint="eastAsia" w:ascii="宋体" w:hAnsi="宋体" w:cs="宋体"/>
          <w:color w:val="000000" w:themeColor="text1"/>
          <w:sz w:val="24"/>
          <w:highlight w:val="none"/>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代理机构</w:t>
      </w:r>
      <w:r>
        <w:rPr>
          <w:rFonts w:hint="eastAsia" w:ascii="宋体" w:hAnsi="宋体" w:cs="宋体"/>
          <w:color w:val="000000" w:themeColor="text1"/>
          <w:sz w:val="24"/>
          <w:highlight w:val="none"/>
          <w14:textFill>
            <w14:solidFill>
              <w14:schemeClr w14:val="tx1"/>
            </w14:solidFill>
          </w14:textFill>
        </w:rPr>
        <w:t xml:space="preserve">只接收以纸质原件形式送达的质疑。</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28</w:t>
      </w:r>
      <w:r>
        <w:rPr>
          <w:rFonts w:hint="eastAsia" w:ascii="宋体" w:hAnsi="宋体" w:cs="宋体"/>
          <w:color w:val="000000" w:themeColor="text1"/>
          <w:sz w:val="24"/>
          <w:highlight w:val="none"/>
          <w14:textFill>
            <w14:solidFill>
              <w14:schemeClr w14:val="tx1"/>
            </w14:solidFill>
          </w14:textFill>
        </w:rPr>
        <w:t xml:space="preserve">.6 以下情形的质疑不予受理</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28</w:t>
      </w:r>
      <w:r>
        <w:rPr>
          <w:rFonts w:hint="eastAsia" w:ascii="宋体" w:hAnsi="宋体" w:cs="宋体"/>
          <w:color w:val="000000" w:themeColor="text1"/>
          <w:sz w:val="24"/>
          <w:highlight w:val="none"/>
          <w14:textFill>
            <w14:solidFill>
              <w14:schemeClr w14:val="tx1"/>
            </w14:solidFill>
          </w14:textFill>
        </w:rPr>
        <w:t xml:space="preserve">.6.1 内容不符合《政府采购质疑和投诉办法》第十二条规定的质疑。</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28</w:t>
      </w:r>
      <w:r>
        <w:rPr>
          <w:rFonts w:hint="eastAsia" w:ascii="宋体" w:hAnsi="宋体" w:cs="宋体"/>
          <w:color w:val="000000" w:themeColor="text1"/>
          <w:sz w:val="24"/>
          <w:highlight w:val="none"/>
          <w14:textFill>
            <w14:solidFill>
              <w14:schemeClr w14:val="tx1"/>
            </w14:solidFill>
          </w14:textFill>
        </w:rPr>
        <w:t xml:space="preserve">.6.2 超出政府采购法定期限的质疑。</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28</w:t>
      </w:r>
      <w:r>
        <w:rPr>
          <w:rFonts w:hint="eastAsia" w:ascii="宋体" w:hAnsi="宋体" w:cs="宋体"/>
          <w:color w:val="000000" w:themeColor="text1"/>
          <w:sz w:val="24"/>
          <w:highlight w:val="none"/>
          <w14:textFill>
            <w14:solidFill>
              <w14:schemeClr w14:val="tx1"/>
            </w14:solidFill>
          </w14:textFill>
        </w:rPr>
        <w:t xml:space="preserve">.6.3 以传真、电子邮件等方式递交的非原件形式的质疑。</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28</w:t>
      </w:r>
      <w:r>
        <w:rPr>
          <w:rFonts w:hint="eastAsia" w:ascii="宋体" w:hAnsi="宋体" w:cs="宋体"/>
          <w:color w:val="000000" w:themeColor="text1"/>
          <w:sz w:val="24"/>
          <w:highlight w:val="none"/>
          <w14:textFill>
            <w14:solidFill>
              <w14:schemeClr w14:val="tx1"/>
            </w14:solidFill>
          </w14:textFill>
        </w:rPr>
        <w:t xml:space="preserve">.6.4 未参加投标活动的供应商或在投标活动中自身权益未受到损害的供应商所提出的质疑。</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28</w:t>
      </w:r>
      <w:r>
        <w:rPr>
          <w:rFonts w:hint="eastAsia" w:ascii="宋体" w:hAnsi="宋体" w:cs="宋体"/>
          <w:color w:val="000000" w:themeColor="text1"/>
          <w:sz w:val="24"/>
          <w:highlight w:val="none"/>
          <w14:textFill>
            <w14:solidFill>
              <w14:schemeClr w14:val="tx1"/>
            </w14:solidFill>
          </w14:textFill>
        </w:rPr>
        <w:t xml:space="preserve">.6.5未按招标文件规定的要求签字并加盖公章的质疑（如供应商组成联合体参加投标的，联合体中任何一方或多方未按要求签字并加盖公章的质疑）。</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28</w:t>
      </w:r>
      <w:r>
        <w:rPr>
          <w:rFonts w:hint="eastAsia" w:ascii="宋体" w:hAnsi="宋体" w:cs="宋体"/>
          <w:color w:val="000000" w:themeColor="text1"/>
          <w:sz w:val="24"/>
          <w:highlight w:val="none"/>
          <w14:textFill>
            <w14:solidFill>
              <w14:schemeClr w14:val="tx1"/>
            </w14:solidFill>
          </w14:textFill>
        </w:rPr>
        <w:t xml:space="preserve">.7供应商提出书面质疑必须有理、有据，不得捏造事实、提供虚假材料进行恶意质疑。否则，一经查实，</w:t>
      </w:r>
      <w:r>
        <w:rPr>
          <w:rFonts w:hint="eastAsia" w:ascii="宋体" w:hAnsi="宋体" w:cs="宋体"/>
          <w:bCs/>
          <w:color w:val="000000" w:themeColor="text1"/>
          <w:sz w:val="24"/>
          <w:highlight w:val="none"/>
          <w14:textFill>
            <w14:solidFill>
              <w14:schemeClr w14:val="tx1"/>
            </w14:solidFill>
          </w14:textFill>
        </w:rPr>
        <w:t xml:space="preserve">代理机构</w:t>
      </w:r>
      <w:r>
        <w:rPr>
          <w:rFonts w:hint="eastAsia" w:ascii="宋体" w:hAnsi="宋体" w:cs="宋体"/>
          <w:color w:val="000000" w:themeColor="text1"/>
          <w:sz w:val="24"/>
          <w:highlight w:val="none"/>
          <w14:textFill>
            <w14:solidFill>
              <w14:schemeClr w14:val="tx1"/>
            </w14:solidFill>
          </w14:textFill>
        </w:rPr>
        <w:t xml:space="preserve">有权依据政府采购的有关规定，报请政府采购监管部门对该供应商进行相应的行政处罚和记录该供应商的失信信息。</w:t>
      </w:r>
      <w:r/>
    </w:p>
    <w:p>
      <w:pPr>
        <w:pStyle w:val="848"/>
        <w:spacing w:before="57" w:after="0" w:line="400" w:lineRule="exact"/>
        <w:rPr>
          <w:rFonts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29</w:t>
      </w:r>
      <w:r>
        <w:rPr>
          <w:rFonts w:hint="eastAsia" w:ascii="宋体" w:hAnsi="宋体" w:cs="宋体"/>
          <w:color w:val="000000" w:themeColor="text1"/>
          <w:sz w:val="24"/>
          <w:szCs w:val="24"/>
          <w:highlight w:val="none"/>
          <w:lang w:eastAsia="zh-CN"/>
          <w14:textFill>
            <w14:solidFill>
              <w14:schemeClr w14:val="tx1"/>
            </w14:solidFill>
          </w14:textFill>
        </w:rPr>
        <w:t xml:space="preserve">、中标通知书</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29</w:t>
      </w:r>
      <w:r>
        <w:rPr>
          <w:rFonts w:hint="eastAsia" w:ascii="宋体" w:hAnsi="宋体" w:cs="宋体"/>
          <w:color w:val="000000" w:themeColor="text1"/>
          <w:sz w:val="24"/>
          <w:highlight w:val="none"/>
          <w14:textFill>
            <w14:solidFill>
              <w14:schemeClr w14:val="tx1"/>
            </w14:solidFill>
          </w14:textFill>
        </w:rPr>
        <w:t xml:space="preserve">.l中标结果确定后，</w:t>
      </w:r>
      <w:r>
        <w:rPr>
          <w:rFonts w:hint="eastAsia" w:ascii="宋体" w:hAnsi="宋体" w:cs="宋体"/>
          <w:bCs/>
          <w:color w:val="000000" w:themeColor="text1"/>
          <w:sz w:val="24"/>
          <w:highlight w:val="none"/>
          <w14:textFill>
            <w14:solidFill>
              <w14:schemeClr w14:val="tx1"/>
            </w14:solidFill>
          </w14:textFill>
        </w:rPr>
        <w:t xml:space="preserve">代理机构</w:t>
      </w:r>
      <w:r>
        <w:rPr>
          <w:rFonts w:hint="eastAsia" w:ascii="宋体" w:hAnsi="宋体" w:cs="宋体"/>
          <w:color w:val="000000" w:themeColor="text1"/>
          <w:sz w:val="24"/>
          <w:highlight w:val="none"/>
          <w14:textFill>
            <w14:solidFill>
              <w14:schemeClr w14:val="tx1"/>
            </w14:solidFill>
          </w14:textFill>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29</w:t>
      </w:r>
      <w:r>
        <w:rPr>
          <w:rFonts w:hint="eastAsia" w:ascii="宋体" w:hAnsi="宋体" w:cs="宋体"/>
          <w:color w:val="000000" w:themeColor="text1"/>
          <w:sz w:val="24"/>
          <w:highlight w:val="none"/>
          <w14:textFill>
            <w14:solidFill>
              <w14:schemeClr w14:val="tx1"/>
            </w14:solidFill>
          </w14:textFill>
        </w:rPr>
        <w:t xml:space="preserve">.2中标通知书将是合同的一个组成部分。对采购人和中标供应商均具有法律效力。中标通知书发出后，采购人改变中标结果的，或者中标供应商放弃中标项目的，应当依法承担法律责任。</w:t>
      </w:r>
      <w:r/>
    </w:p>
    <w:p>
      <w:pPr>
        <w:pStyle w:val="846"/>
        <w:spacing w:before="286" w:after="143" w:line="400" w:lineRule="exact"/>
        <w:rPr>
          <w:rFonts w:ascii="宋体" w:hAnsi="宋体" w:eastAsia="宋体" w:cs="宋体"/>
          <w:color w:val="000000" w:themeColor="text1"/>
          <w:sz w:val="32"/>
          <w:szCs w:val="32"/>
          <w:highlight w:val="none"/>
          <w:lang w:eastAsia="zh-CN"/>
          <w14:textFill>
            <w14:solidFill>
              <w14:schemeClr w14:val="tx1"/>
            </w14:solidFill>
          </w14:textFill>
        </w:rPr>
      </w:pPr>
      <w:r/>
      <w:bookmarkStart w:id="212" w:name="_Toc8485118"/>
      <w:r/>
      <w:bookmarkStart w:id="213" w:name="_Toc12708977"/>
      <w:r/>
      <w:bookmarkStart w:id="214" w:name="_Toc12887267"/>
      <w:r/>
      <w:bookmarkStart w:id="215" w:name="_Toc226127000"/>
      <w:r/>
      <w:bookmarkStart w:id="216" w:name="_Toc9363432"/>
      <w:r/>
      <w:bookmarkStart w:id="217" w:name="_Toc120614220"/>
      <w:r/>
      <w:bookmarkStart w:id="218" w:name="_Toc16938552"/>
      <w:r/>
      <w:bookmarkStart w:id="219" w:name="_Toc513029236"/>
      <w:r/>
      <w:bookmarkStart w:id="220" w:name="_Toc20823308"/>
      <w:r>
        <w:rPr>
          <w:rFonts w:hint="eastAsia" w:ascii="宋体" w:hAnsi="宋体" w:eastAsia="宋体" w:cs="宋体"/>
          <w:color w:val="000000" w:themeColor="text1"/>
          <w:sz w:val="32"/>
          <w:szCs w:val="32"/>
          <w:highlight w:val="none"/>
          <w:lang w:eastAsia="zh-CN"/>
          <w14:textFill>
            <w14:solidFill>
              <w14:schemeClr w14:val="tx1"/>
            </w14:solidFill>
          </w14:textFill>
        </w:rPr>
        <w:t xml:space="preserve">七、授予合同</w:t>
      </w:r>
      <w:bookmarkEnd w:id="212"/>
      <w:r/>
      <w:bookmarkEnd w:id="213"/>
      <w:r/>
      <w:bookmarkEnd w:id="214"/>
      <w:r/>
      <w:bookmarkEnd w:id="215"/>
      <w:r/>
      <w:bookmarkEnd w:id="216"/>
      <w:r/>
      <w:bookmarkEnd w:id="217"/>
      <w:r/>
      <w:bookmarkEnd w:id="218"/>
      <w:bookmarkEnd w:id="219"/>
      <w:bookmarkEnd w:id="220"/>
      <w:r/>
    </w:p>
    <w:p>
      <w:pPr>
        <w:pStyle w:val="848"/>
        <w:spacing w:before="57" w:after="0" w:line="400" w:lineRule="exact"/>
        <w:rPr>
          <w:rFonts w:ascii="宋体" w:hAnsi="宋体" w:cs="宋体"/>
          <w:color w:val="000000" w:themeColor="text1"/>
          <w:sz w:val="24"/>
          <w:szCs w:val="24"/>
          <w:highlight w:val="none"/>
          <w:lang w:eastAsia="zh-CN"/>
          <w14:textFill>
            <w14:solidFill>
              <w14:schemeClr w14:val="tx1"/>
            </w14:solidFill>
          </w14:textFill>
        </w:rPr>
      </w:pPr>
      <w:r/>
      <w:bookmarkStart w:id="221" w:name="_Toc513029237"/>
      <w:r/>
      <w:bookmarkStart w:id="222" w:name="_Toc20823309"/>
      <w:r/>
      <w:bookmarkStart w:id="223" w:name="_Toc16938553"/>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cs="宋体"/>
          <w:color w:val="000000" w:themeColor="text1"/>
          <w:sz w:val="24"/>
          <w:szCs w:val="24"/>
          <w:highlight w:val="none"/>
          <w:lang w:eastAsia="zh-CN"/>
          <w14:textFill>
            <w14:solidFill>
              <w14:schemeClr w14:val="tx1"/>
            </w14:solidFill>
          </w14:textFill>
        </w:rPr>
        <w:t xml:space="preserve">. 签订合同</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.l中标供应商应当在中标通知书发出之日起三十日内，按照招标文件确定的事项与采购人签订政府采购合同。</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2 招标文件、中标供应商的投标文件及招标过程中有关澄清、承诺文件均应作为合同附件。</w:t>
      </w:r>
      <w:r/>
    </w:p>
    <w:p>
      <w:pPr>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.3 签订合同后，</w:t>
      </w:r>
      <w:r>
        <w:rPr>
          <w:rFonts w:hint="eastAsia" w:ascii="宋体" w:hAnsi="宋体" w:cs="宋体"/>
          <w:b/>
          <w:bCs/>
          <w:i/>
          <w:iCs/>
          <w:color w:val="000000" w:themeColor="text1"/>
          <w:sz w:val="24"/>
          <w:highlight w:val="none"/>
          <w:u w:val="single"/>
          <w14:textFill>
            <w14:solidFill>
              <w14:schemeClr w14:val="tx1"/>
            </w14:solidFill>
          </w14:textFill>
        </w:rPr>
        <w:t xml:space="preserve">中标供应商不得将合同标的进行转包。</w:t>
      </w:r>
      <w:r>
        <w:rPr>
          <w:rFonts w:hint="eastAsia" w:ascii="宋体" w:hAnsi="宋体" w:cs="宋体"/>
          <w:color w:val="000000" w:themeColor="text1"/>
          <w:sz w:val="24"/>
          <w:highlight w:val="none"/>
          <w14:textFill>
            <w14:solidFill>
              <w14:schemeClr w14:val="tx1"/>
            </w14:solidFill>
          </w14:textFill>
        </w:rPr>
        <w:t xml:space="preserve">未经采购人同意，中标供应商也不得采用分包的形式履行合同，否则采购人有权终止合同。转包或分包造成采购人损失的，中标供应商应承担相应赔偿责任。</w:t>
      </w:r>
      <w:r/>
    </w:p>
    <w:p>
      <w:pPr>
        <w:spacing w:before="57"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bookmarkEnd w:id="72"/>
      <w:bookmarkEnd w:id="221"/>
      <w:bookmarkEnd w:id="222"/>
      <w:bookmarkEnd w:id="223"/>
      <w:r/>
    </w:p>
    <w:p>
      <w:pPr>
        <w:jc w:val="left"/>
        <w:widowControl/>
        <w:rPr>
          <w:rFonts w:ascii="宋体" w:hAnsi="宋体" w:cs="宋体"/>
          <w:b/>
          <w:color w:val="000000" w:themeColor="text1"/>
          <w:sz w:val="36"/>
          <w:szCs w:val="36"/>
          <w:highlight w:val="none"/>
          <w14:textFill>
            <w14:solidFill>
              <w14:schemeClr w14:val="tx1"/>
            </w14:solidFill>
          </w14:textFill>
        </w:rPr>
      </w:pPr>
      <w:r/>
      <w:bookmarkStart w:id="224" w:name="_Toc120614221"/>
      <w:r/>
      <w:bookmarkStart w:id="225" w:name="_Toc513029242"/>
      <w:r/>
      <w:bookmarkStart w:id="226" w:name="_Toc479757207"/>
      <w:r/>
      <w:bookmarkStart w:id="227" w:name="_Toc8485120"/>
      <w:r/>
      <w:bookmarkStart w:id="228" w:name="_Toc16938558"/>
      <w:r/>
      <w:bookmarkStart w:id="229" w:name="_Toc20823314"/>
      <w:r/>
      <w:r/>
    </w:p>
    <w:p>
      <w:pPr>
        <w:pStyle w:val="845"/>
        <w:jc w:val="center"/>
        <w:spacing w:before="286" w:after="286"/>
        <w:rPr>
          <w:rFonts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br w:type="page" w:clear="all"/>
      </w:r>
      <w:bookmarkEnd w:id="224"/>
      <w:r/>
      <w:bookmarkEnd w:id="225"/>
      <w:r/>
      <w:bookmarkEnd w:id="226"/>
      <w:r/>
      <w:bookmarkEnd w:id="227"/>
      <w:r/>
      <w:bookmarkEnd w:id="228"/>
      <w:r/>
      <w:bookmarkEnd w:id="229"/>
      <w:r/>
      <w:bookmarkStart w:id="230" w:name="_Toc226127001"/>
      <w:r/>
      <w:bookmarkStart w:id="231" w:name="_Toc9363435"/>
      <w:r/>
      <w:bookmarkStart w:id="232" w:name="_Toc8485121"/>
      <w:r/>
      <w:bookmarkStart w:id="233" w:name="_Toc12708980"/>
      <w:r/>
      <w:bookmarkStart w:id="234" w:name="_Toc12887270"/>
      <w:r>
        <w:rPr>
          <w:rFonts w:hint="eastAsia" w:ascii="宋体" w:hAnsi="宋体" w:eastAsia="宋体" w:cs="宋体"/>
          <w:b/>
          <w:color w:val="000000" w:themeColor="text1"/>
          <w:sz w:val="36"/>
          <w:szCs w:val="36"/>
          <w:highlight w:val="none"/>
          <w14:textFill>
            <w14:solidFill>
              <w14:schemeClr w14:val="tx1"/>
            </w14:solidFill>
          </w14:textFill>
        </w:rPr>
        <w:t xml:space="preserve">第三章 项目需求</w:t>
      </w:r>
      <w:bookmarkEnd w:id="230"/>
      <w:r/>
      <w:bookmarkEnd w:id="231"/>
      <w:r/>
      <w:bookmarkEnd w:id="232"/>
      <w:r/>
      <w:bookmarkEnd w:id="233"/>
      <w:r/>
      <w:bookmarkEnd w:id="234"/>
      <w:r/>
      <w:r/>
    </w:p>
    <w:p>
      <w:pPr>
        <w:ind w:firstLine="482"/>
        <w:spacing w:line="360" w:lineRule="auto"/>
        <w:rPr>
          <w:rFonts w:ascii="宋体" w:hAnsi="宋体" w:cs="宋体"/>
          <w:b/>
          <w:bCs/>
          <w:color w:val="000000" w:themeColor="text1"/>
          <w:sz w:val="24"/>
          <w:highlight w:val="none"/>
          <w14:textFill>
            <w14:solidFill>
              <w14:schemeClr w14:val="tx1"/>
            </w14:solidFill>
          </w14:textFill>
        </w:rPr>
      </w:pPr>
      <w:r/>
      <w:bookmarkStart w:id="235" w:name="_Hlk174538476"/>
      <w:r/>
      <w:bookmarkStart w:id="236" w:name="_Hlk28691518"/>
      <w:r/>
      <w:bookmarkStart w:id="237" w:name="_Hlk172189752"/>
      <w:r/>
      <w:bookmarkStart w:id="238" w:name="_Hlk174538584"/>
      <w:r/>
      <w:bookmarkStart w:id="239" w:name="_Toc12887271"/>
      <w:r/>
      <w:bookmarkStart w:id="240" w:name="_Toc9363436"/>
      <w:r/>
      <w:bookmarkStart w:id="241" w:name="_Toc8485122"/>
      <w:r/>
      <w:bookmarkStart w:id="242" w:name="_Toc12708982"/>
      <w:r/>
      <w:bookmarkStart w:id="243" w:name="_Toc12887273"/>
      <w:r/>
      <w:bookmarkStart w:id="244" w:name="_Toc49090575"/>
      <w:r/>
      <w:bookmarkStart w:id="245" w:name="_Toc120614281"/>
      <w:r/>
      <w:bookmarkStart w:id="246" w:name="_Toc26554093"/>
      <w:r>
        <w:rPr>
          <w:rFonts w:hint="eastAsia" w:ascii="宋体" w:hAnsi="宋体" w:cs="宋体"/>
          <w:b/>
          <w:bCs/>
          <w:color w:val="000000" w:themeColor="text1"/>
          <w:sz w:val="24"/>
          <w:highlight w:val="none"/>
          <w14:textFill>
            <w14:solidFill>
              <w14:schemeClr w14:val="tx1"/>
            </w14:solidFill>
          </w14:textFill>
        </w:rPr>
        <w:t xml:space="preserve">采购标的：</w:t>
      </w:r>
      <w:r/>
    </w:p>
    <w:tbl>
      <w:tblPr>
        <w:tblStyle w:val="67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3575"/>
        <w:gridCol w:w="2700"/>
        <w:gridCol w:w="2057"/>
      </w:tblGrid>
      <w:tr>
        <w:trPr>
          <w:trHeight w:val="538"/>
        </w:trPr>
        <w:tc>
          <w:tcPr>
            <w:tcW w:w="569" w:type="pct"/>
            <w:vAlign w:val="center"/>
            <w:textDirection w:val="lrTb"/>
            <w:noWrap w:val="false"/>
          </w:tcPr>
          <w:p>
            <w:pPr>
              <w:jc w:val="center"/>
              <w:spacing w:line="440" w:lineRule="exact"/>
              <w:widowControl/>
              <w:rPr>
                <w:rFonts w:ascii="宋体" w:hAnsi="宋体" w:cs="宋体"/>
                <w:color w:val="000000" w:themeColor="text1"/>
                <w:sz w:val="24"/>
                <w:highlight w:val="none"/>
                <w14:textFill>
                  <w14:solidFill>
                    <w14:schemeClr w14:val="tx1"/>
                  </w14:solidFill>
                </w14:textFill>
              </w:rPr>
            </w:pPr>
            <w:r/>
            <w:bookmarkStart w:id="247" w:name="_Hlk210927219"/>
            <w:r>
              <w:rPr>
                <w:rFonts w:hint="eastAsia" w:ascii="宋体" w:hAnsi="宋体" w:cs="宋体"/>
                <w:color w:val="000000" w:themeColor="text1"/>
                <w:sz w:val="24"/>
                <w:highlight w:val="none"/>
                <w14:textFill>
                  <w14:solidFill>
                    <w14:schemeClr w14:val="tx1"/>
                  </w14:solidFill>
                </w14:textFill>
              </w:rPr>
              <w:t xml:space="preserve">序号</w:t>
            </w:r>
            <w:r/>
          </w:p>
        </w:tc>
        <w:tc>
          <w:tcPr>
            <w:tcW w:w="1901" w:type="pct"/>
            <w:vAlign w:val="center"/>
            <w:textDirection w:val="lrTb"/>
            <w:noWrap w:val="false"/>
          </w:tcPr>
          <w:p>
            <w:pPr>
              <w:jc w:val="center"/>
              <w:spacing w:line="44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标的名称</w:t>
            </w:r>
            <w:r/>
          </w:p>
          <w:p>
            <w:pPr>
              <w:jc w:val="center"/>
              <w:spacing w:line="44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(对应中小企业划分标准)</w:t>
            </w:r>
            <w:r/>
          </w:p>
        </w:tc>
        <w:tc>
          <w:tcPr>
            <w:tcW w:w="1436" w:type="pct"/>
            <w:vAlign w:val="center"/>
            <w:textDirection w:val="lrTb"/>
            <w:noWrap w:val="false"/>
          </w:tcPr>
          <w:p>
            <w:pPr>
              <w:jc w:val="center"/>
              <w:spacing w:line="44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所属行业</w:t>
            </w:r>
            <w:r/>
          </w:p>
          <w:p>
            <w:pPr>
              <w:jc w:val="center"/>
              <w:spacing w:line="44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(对应中小企业划分标准)</w:t>
            </w:r>
            <w:r/>
          </w:p>
        </w:tc>
        <w:tc>
          <w:tcPr>
            <w:tcW w:w="1094" w:type="pct"/>
            <w:vAlign w:val="center"/>
            <w:textDirection w:val="lrTb"/>
            <w:noWrap w:val="false"/>
          </w:tcPr>
          <w:p>
            <w:pPr>
              <w:jc w:val="center"/>
              <w:spacing w:line="44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项目属性</w:t>
            </w:r>
            <w:r/>
          </w:p>
        </w:tc>
      </w:tr>
      <w:tr>
        <w:trPr>
          <w:trHeight w:val="321"/>
        </w:trPr>
        <w:tc>
          <w:tcPr>
            <w:tcW w:w="569" w:type="pct"/>
            <w:vAlign w:val="center"/>
            <w:textDirection w:val="lrTb"/>
            <w:noWrap w:val="false"/>
          </w:tcPr>
          <w:p>
            <w:pPr>
              <w:jc w:val="center"/>
              <w:spacing w:line="440" w:lineRule="exac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w:t>
            </w:r>
            <w:r/>
          </w:p>
        </w:tc>
        <w:tc>
          <w:tcPr>
            <w:tcW w:w="1901" w:type="pct"/>
            <w:vAlign w:val="center"/>
            <w:textDirection w:val="lrTb"/>
            <w:noWrap w:val="false"/>
          </w:tcPr>
          <w:p>
            <w:pPr>
              <w:jc w:val="center"/>
              <w:spacing w:line="440" w:lineRule="exac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江苏省交通技师学院全光网络建设项目</w:t>
            </w:r>
            <w:r/>
          </w:p>
        </w:tc>
        <w:tc>
          <w:tcPr>
            <w:tcW w:w="1436" w:type="pct"/>
            <w:vAlign w:val="center"/>
            <w:textDirection w:val="lrTb"/>
            <w:noWrap w:val="false"/>
          </w:tcPr>
          <w:p>
            <w:pPr>
              <w:jc w:val="center"/>
              <w:spacing w:line="440" w:lineRule="exac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建筑业</w:t>
            </w:r>
            <w:r/>
          </w:p>
        </w:tc>
        <w:tc>
          <w:tcPr>
            <w:tcW w:w="1094" w:type="pct"/>
            <w:vAlign w:val="center"/>
            <w:textDirection w:val="lrTb"/>
            <w:noWrap w:val="false"/>
          </w:tcPr>
          <w:p>
            <w:pPr>
              <w:jc w:val="center"/>
              <w:spacing w:line="440" w:lineRule="exac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工程类</w:t>
            </w:r>
            <w:bookmarkEnd w:id="235"/>
            <w:bookmarkEnd w:id="236"/>
            <w:bookmarkEnd w:id="237"/>
            <w:bookmarkEnd w:id="238"/>
            <w:bookmarkEnd w:id="239"/>
            <w:bookmarkEnd w:id="247"/>
            <w:r/>
          </w:p>
        </w:tc>
      </w:tr>
    </w:tbl>
    <w:p>
      <w:pPr>
        <w:pStyle w:val="665"/>
        <w:spacing w:before="0" w:after="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一、建设背景</w:t>
      </w:r>
      <w:r/>
    </w:p>
    <w:p>
      <w:pPr>
        <w:ind w:firstLine="480"/>
        <w:jc w:val="left"/>
        <w:spacing w:line="360"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学院现有网络架构为传统的以太网“三层”模式，使用年限超9年，面临着设备老旧，信号不稳定、性能下降，故障率趋高、连接速度变慢等问题。</w:t>
      </w:r>
      <w:r/>
    </w:p>
    <w:p>
      <w:pPr>
        <w:ind w:firstLine="480"/>
        <w:jc w:val="left"/>
        <w:spacing w:line="360"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十四五”期间，国家出台《中国教育现代化2035》《教育信息化2.0行动计划》等一系列政策，构建起智慧校园建设的顶层设计体系，明确提出加强校园信息基础设施建设，打造高速、智能、绿色校园网络，为院校数字化发展提供根本遵循。</w:t>
      </w:r>
      <w:r/>
    </w:p>
    <w:p>
      <w:pPr>
        <w:ind w:firstLine="480"/>
        <w:jc w:val="left"/>
        <w:spacing w:line="360"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随着数字经济时代的全面到来，新一代信息技术与教育教学的深度融合，已成为推动职业教育改革创新、实现内涵式发展的核心驱动力。江苏省率先布局信息基础设施建设，在2025年出台《江苏信息通信业2025年推进新型信息基础设施建设发展提质工程实施方案》，将万兆光网列为构建高质量发展“数字底座”的关键组成部分，为各类主体推进光网建设提供了明确政策导向与机遇。</w:t>
      </w:r>
      <w:r/>
    </w:p>
    <w:p>
      <w:pPr>
        <w:pStyle w:val="665"/>
        <w:spacing w:before="0" w:after="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二、技术要求</w:t>
      </w:r>
      <w:r/>
    </w:p>
    <w:p>
      <w:pPr>
        <w:ind w:firstLine="480"/>
        <w:jc w:val="left"/>
        <w:spacing w:line="360" w:lineRule="auto"/>
        <w:rPr>
          <w:rFonts w:hint="eastAsia" w:ascii="宋体" w:hAnsi="宋体" w:eastAsia="宋体" w:cs="宋体"/>
          <w:color w:val="000000" w:themeColor="text1"/>
          <w:sz w:val="24"/>
          <w:szCs w:val="28"/>
          <w:highlight w:val="none"/>
          <w14:textFill>
            <w14:solidFill>
              <w14:schemeClr w14:val="tx1"/>
            </w14:solidFill>
          </w14:textFill>
        </w:rPr>
      </w:pPr>
      <w:r>
        <w:rPr>
          <w:rFonts w:hint="eastAsia" w:ascii="宋体" w:hAnsi="宋体" w:eastAsia="宋体" w:cs="宋体"/>
          <w:color w:val="000000" w:themeColor="text1"/>
          <w:sz w:val="24"/>
          <w:szCs w:val="28"/>
          <w:highlight w:val="none"/>
          <w14:textFill>
            <w14:solidFill>
              <w14:schemeClr w14:val="tx1"/>
            </w14:solidFill>
          </w14:textFill>
        </w:rPr>
        <w:t xml:space="preserve">2.1建设内容</w:t>
      </w:r>
      <w:r/>
    </w:p>
    <w:p>
      <w:pPr>
        <w:ind w:firstLine="480"/>
        <w:jc w:val="left"/>
        <w:spacing w:line="360" w:lineRule="auto"/>
        <w:rPr>
          <w:rFonts w:hint="eastAsia" w:ascii="宋体" w:hAnsi="宋体" w:eastAsia="宋体" w:cs="宋体"/>
          <w:color w:val="000000" w:themeColor="text1"/>
          <w:sz w:val="24"/>
          <w:szCs w:val="28"/>
          <w:highlight w:val="none"/>
          <w14:textFill>
            <w14:solidFill>
              <w14:schemeClr w14:val="tx1"/>
            </w14:solidFill>
          </w14:textFill>
        </w:rPr>
      </w:pPr>
      <w:r>
        <w:rPr>
          <w:rFonts w:hint="eastAsia" w:ascii="宋体" w:hAnsi="宋体" w:eastAsia="宋体" w:cs="宋体"/>
          <w:color w:val="000000" w:themeColor="text1"/>
          <w:sz w:val="24"/>
          <w:szCs w:val="28"/>
          <w:highlight w:val="none"/>
          <w14:textFill>
            <w14:solidFill>
              <w14:schemeClr w14:val="tx1"/>
            </w14:solidFill>
          </w14:textFill>
        </w:rPr>
        <w:t xml:space="preserve">本次网络改造覆盖范围全面，共涉及14个建筑单体以及室外公共区域和门卫室，14个建筑单体分别是1#楼、2#楼、3#楼、4#楼、5#楼、6#楼、7#楼、8#楼、10#楼、11#楼、12#楼、13#楼、25#楼、奎远楼，全面覆盖教学、办公等核心区域，为全光网络落地筑牢基础。</w:t>
      </w:r>
      <w:r/>
    </w:p>
    <w:p>
      <w:pPr>
        <w:pStyle w:val="666"/>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2.2建设目标</w:t>
      </w:r>
      <w:r/>
    </w:p>
    <w:p>
      <w:pPr>
        <w:ind w:firstLine="482"/>
        <w:jc w:val="left"/>
        <w:spacing w:line="360" w:lineRule="auto"/>
        <w:rPr>
          <w:rFonts w:ascii="宋体" w:hAnsi="宋体" w:cs="宋体"/>
          <w:b/>
          <w:color w:val="000000" w:themeColor="text1"/>
          <w:sz w:val="24"/>
          <w:szCs w:val="28"/>
          <w:highlight w:val="none"/>
          <w14:textFill>
            <w14:solidFill>
              <w14:schemeClr w14:val="tx1"/>
            </w14:solidFill>
          </w14:textFill>
        </w:rPr>
      </w:pPr>
      <w:r>
        <w:rPr>
          <w:rFonts w:hint="eastAsia" w:ascii="宋体" w:hAnsi="宋体" w:cs="宋体"/>
          <w:b/>
          <w:color w:val="000000" w:themeColor="text1"/>
          <w:sz w:val="24"/>
          <w:szCs w:val="28"/>
          <w:highlight w:val="none"/>
          <w14:textFill>
            <w14:solidFill>
              <w14:schemeClr w14:val="tx1"/>
            </w14:solidFill>
          </w14:textFill>
        </w:rPr>
        <w:t xml:space="preserve">（1）老旧设备升级改造，网络物理架构调优</w:t>
      </w:r>
      <w:r/>
    </w:p>
    <w:p>
      <w:pPr>
        <w:ind w:firstLine="480"/>
        <w:jc w:val="left"/>
        <w:spacing w:line="360"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为解决现有大量老旧设备问题，计划替换并升级性能不足的核心、汇聚、AC等设备，选择先进的设备以确保校园网络业务质量和扩展性。同时改造网络架构，增加设备和链路冗余，提高网络基础架构可靠性。这将为校园网络提供稳定可靠、性能高效的基础设施，满足学校需求，并为网络未来发展奠定基础。</w:t>
      </w:r>
      <w:r/>
    </w:p>
    <w:p>
      <w:pPr>
        <w:ind w:firstLine="482"/>
        <w:jc w:val="left"/>
        <w:spacing w:line="360" w:lineRule="auto"/>
        <w:rPr>
          <w:rFonts w:ascii="宋体" w:hAnsi="宋体" w:cs="宋体"/>
          <w:b/>
          <w:color w:val="000000" w:themeColor="text1"/>
          <w:sz w:val="24"/>
          <w:szCs w:val="28"/>
          <w:highlight w:val="none"/>
          <w14:textFill>
            <w14:solidFill>
              <w14:schemeClr w14:val="tx1"/>
            </w14:solidFill>
          </w14:textFill>
        </w:rPr>
      </w:pPr>
      <w:r>
        <w:rPr>
          <w:rFonts w:hint="eastAsia" w:ascii="宋体" w:hAnsi="宋体" w:cs="宋体"/>
          <w:b/>
          <w:color w:val="000000" w:themeColor="text1"/>
          <w:sz w:val="24"/>
          <w:szCs w:val="28"/>
          <w:highlight w:val="none"/>
          <w14:textFill>
            <w14:solidFill>
              <w14:schemeClr w14:val="tx1"/>
            </w14:solidFill>
          </w14:textFill>
        </w:rPr>
        <w:t xml:space="preserve">（2）升级全光网络技术架构，提供灵活超宽接入和超长服役</w:t>
      </w:r>
      <w:r/>
    </w:p>
    <w:p>
      <w:pPr>
        <w:ind w:firstLine="480"/>
        <w:jc w:val="left"/>
        <w:spacing w:line="360"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全光网络结构相对简单，光纤可以传输不同速率和协议的数据，轻松实现多网合一， 同时承载视频、数据、无线、语音等多种业务。光纤传输距离远、覆盖范围大，可以减少中继设备、弱电机房、空调的使用。在后期维护时，全光网络支持统一管理和监控， 故障排查简单，故障设备支持一键替换；支持光链路、光模块故障诊断和光模块生命周期预测，可及时预测和处理光模块故障，方便后期管理和维护。光纤传输速率高，抗干扰能力强，安全性更高。 光纤的生命周期长，使用寿命是普通网线的3-4倍。</w:t>
      </w:r>
      <w:r/>
    </w:p>
    <w:p>
      <w:pPr>
        <w:ind w:firstLine="482"/>
        <w:jc w:val="left"/>
        <w:spacing w:line="360" w:lineRule="auto"/>
        <w:rPr>
          <w:rFonts w:ascii="宋体" w:hAnsi="宋体" w:cs="宋体"/>
          <w:b/>
          <w:color w:val="000000" w:themeColor="text1"/>
          <w:sz w:val="24"/>
          <w:szCs w:val="28"/>
          <w:highlight w:val="none"/>
          <w14:textFill>
            <w14:solidFill>
              <w14:schemeClr w14:val="tx1"/>
            </w14:solidFill>
          </w14:textFill>
        </w:rPr>
      </w:pPr>
      <w:r>
        <w:rPr>
          <w:rFonts w:hint="eastAsia" w:ascii="宋体" w:hAnsi="宋体" w:cs="宋体"/>
          <w:b/>
          <w:color w:val="000000" w:themeColor="text1"/>
          <w:sz w:val="24"/>
          <w:szCs w:val="28"/>
          <w:highlight w:val="none"/>
          <w14:textFill>
            <w14:solidFill>
              <w14:schemeClr w14:val="tx1"/>
            </w14:solidFill>
          </w14:textFill>
        </w:rPr>
        <w:t xml:space="preserve">（3）简化网络管理运维，提升校园网络运维</w:t>
      </w:r>
      <w:r/>
    </w:p>
    <w:p>
      <w:pPr>
        <w:ind w:firstLine="480"/>
        <w:jc w:val="left"/>
        <w:spacing w:line="360"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构建统一控制的网络管理平台，优化校园网络运维和用户体验。面对业务多样化、用户接入多样化及有线无线接入场景等挑战，传统管理方式难以应对。该平台实现全网业务权限统一控制、安全资源统一调度，支持用户灵活接入、安全资源共享和实时业务感知。集中管理有线和无线网络，统一管理用户权限和安全策略，并快速定位网络问题和精准分析网络质量。通过图形化操作、自动化配置和直观数据分析，简化网络运维难度和技术要求，进一步保障用户体验。</w:t>
      </w:r>
      <w:r/>
    </w:p>
    <w:p>
      <w:pPr>
        <w:ind w:firstLine="482"/>
        <w:jc w:val="left"/>
        <w:spacing w:line="360" w:lineRule="auto"/>
        <w:rPr>
          <w:rFonts w:ascii="宋体" w:hAnsi="宋体" w:cs="宋体"/>
          <w:b/>
          <w:color w:val="000000" w:themeColor="text1"/>
          <w:sz w:val="24"/>
          <w:szCs w:val="28"/>
          <w:highlight w:val="none"/>
          <w14:textFill>
            <w14:solidFill>
              <w14:schemeClr w14:val="tx1"/>
            </w14:solidFill>
          </w14:textFill>
        </w:rPr>
      </w:pPr>
      <w:r>
        <w:rPr>
          <w:rFonts w:hint="eastAsia" w:ascii="宋体" w:hAnsi="宋体" w:cs="宋体"/>
          <w:b/>
          <w:color w:val="000000" w:themeColor="text1"/>
          <w:sz w:val="24"/>
          <w:szCs w:val="28"/>
          <w:highlight w:val="none"/>
          <w14:textFill>
            <w14:solidFill>
              <w14:schemeClr w14:val="tx1"/>
            </w14:solidFill>
          </w14:textFill>
        </w:rPr>
        <w:t xml:space="preserve">（4）提升无线校园覆盖和性能，满足师生移动办公学习诉求</w:t>
      </w:r>
      <w:r/>
    </w:p>
    <w:p>
      <w:pPr>
        <w:ind w:firstLine="480"/>
        <w:jc w:val="left"/>
        <w:spacing w:line="360"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为满足无线办公和学习的需求，在校园的重要区域如办公室、图书馆、教学区、食堂、等，采用高性能的WIFI7设备，实现无缝漫游和高速上网体验。这样可以提升校园网络的覆盖和性能，满足师生对移动办公学习的需求。通过WIFI7设备，师生可以随时随地接入网络，享受稳定和快速的上网体验。无缝漫游技术则确保师生在校园内移动时，网络连接保持平滑和连续。</w:t>
      </w:r>
      <w:r/>
    </w:p>
    <w:p>
      <w:pPr>
        <w:pStyle w:val="666"/>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2.3建设要求</w:t>
      </w:r>
      <w:r/>
    </w:p>
    <w:p>
      <w:pPr>
        <w:ind w:firstLine="480"/>
        <w:jc w:val="left"/>
        <w:spacing w:line="360"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本次全光网建设要求包括办公教学网设计要求、监控网设计要求、光网施工要求。</w:t>
      </w:r>
      <w:r/>
    </w:p>
    <w:p>
      <w:pPr>
        <w:pStyle w:val="666"/>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2.3.1办公教学网设计要求</w:t>
      </w:r>
      <w:r/>
    </w:p>
    <w:p>
      <w:pPr>
        <w:pStyle w:val="668"/>
        <w:ind w:firstLine="56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1.逻辑架构设计</w:t>
      </w:r>
      <w:r/>
    </w:p>
    <w:p>
      <w:pPr>
        <w:ind w:firstLine="420"/>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4711700" cy="3263900"/>
                <wp:effectExtent l="0" t="0" r="0" b="1270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4711700" cy="326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71.0pt;height:257.0pt;mso-wrap-distance-left:0.0pt;mso-wrap-distance-top:0.0pt;mso-wrap-distance-right:0.0pt;mso-wrap-distance-bottom:0.0pt;" stroked="f">
                <v:path textboxrect="0,0,0,0"/>
                <v:imagedata r:id="rId13" o:title=""/>
              </v:shape>
            </w:pict>
          </mc:Fallback>
        </mc:AlternateContent>
      </w:r>
      <w:r/>
    </w:p>
    <w:p>
      <w:pPr>
        <w:ind w:firstLine="480"/>
        <w:jc w:val="left"/>
        <w:spacing w:line="360"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出口层：是校园内部网络到外部网络的边界，一般需要部署出口防火墙。防火墙提供边界安全防护能力，上网行为管理设备主要用于规范用户上网、保障网络安全、提升带宽效率、规避合规风险，实现校园网有线和无线的认证，摄像头、打印机等哑终端的设备无需认证。</w:t>
      </w:r>
      <w:r/>
    </w:p>
    <w:p>
      <w:pPr>
        <w:ind w:firstLine="480"/>
        <w:jc w:val="left"/>
        <w:spacing w:line="360"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网络管理区：部署运维管理平台用于管理校园网的网络设备。</w:t>
      </w:r>
      <w:r/>
    </w:p>
    <w:p>
      <w:pPr>
        <w:ind w:firstLine="480"/>
        <w:jc w:val="left"/>
        <w:spacing w:line="360"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核心层：是校园数据交互的核心，连接校园各个部分。通常要部署性能高、稳定性好的交换机，多采用框式中高端交换机。针对无线网络，核心层还需要包括无线控制器（AC）。</w:t>
      </w:r>
      <w:r/>
    </w:p>
    <w:p>
      <w:pPr>
        <w:ind w:firstLine="480"/>
        <w:jc w:val="left"/>
        <w:spacing w:line="360"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汇聚层：介于核心层与接入层之间，全光网络汇聚层采用OLT设备，全光口设计。</w:t>
      </w:r>
      <w:r/>
    </w:p>
    <w:p>
      <w:pPr>
        <w:ind w:firstLine="480"/>
        <w:jc w:val="left"/>
        <w:spacing w:line="360"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接入层：提供校园有线和无线接入。通常是ONU设备和AP。</w:t>
      </w:r>
      <w:r/>
    </w:p>
    <w:p>
      <w:pPr>
        <w:pStyle w:val="668"/>
        <w:ind w:firstLine="56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2.物理架构设计</w:t>
      </w:r>
      <w:r/>
    </w:p>
    <w:p>
      <w:pPr>
        <w:ind w:firstLine="482"/>
        <w:jc w:val="left"/>
        <w:spacing w:line="360" w:lineRule="auto"/>
        <w:rPr>
          <w:rStyle w:val="1409"/>
          <w:rFonts w:cs="宋体"/>
          <w:color w:val="000000" w:themeColor="text1"/>
          <w:highlight w:val="none"/>
          <w14:textFill>
            <w14:solidFill>
              <w14:schemeClr w14:val="tx1"/>
            </w14:solidFill>
          </w14:textFill>
        </w:rPr>
      </w:pPr>
      <w:r>
        <w:rPr>
          <w:rStyle w:val="1409"/>
          <w:rFonts w:hint="eastAsia"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391150" cy="322580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5391150" cy="322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4.5pt;height:254.0pt;mso-wrap-distance-left:0.0pt;mso-wrap-distance-top:0.0pt;mso-wrap-distance-right:0.0pt;mso-wrap-distance-bottom:0.0pt;" stroked="f">
                <v:path textboxrect="0,0,0,0"/>
                <v:imagedata r:id="rId14" o:title=""/>
              </v:shape>
            </w:pict>
          </mc:Fallback>
        </mc:AlternateConten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（1）核心层设计规划</w:t>
      </w:r>
      <w:r/>
    </w:p>
    <w:p>
      <w:pPr>
        <w:ind w:firstLine="482"/>
        <w:jc w:val="center"/>
        <w:spacing w:line="360" w:lineRule="auto"/>
        <w:rPr>
          <w:rStyle w:val="1409"/>
          <w:rFonts w:cs="宋体"/>
          <w:color w:val="000000" w:themeColor="text1"/>
          <w:highlight w:val="none"/>
          <w14:textFill>
            <w14:solidFill>
              <w14:schemeClr w14:val="tx1"/>
            </w14:solidFill>
          </w14:textFill>
        </w:rPr>
      </w:pPr>
      <w:r>
        <w:rPr>
          <w:rStyle w:val="1409"/>
          <w:rFonts w:hint="eastAsia"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3727450" cy="146050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3727450" cy="1460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93.5pt;height:115.0pt;mso-wrap-distance-left:0.0pt;mso-wrap-distance-top:0.0pt;mso-wrap-distance-right:0.0pt;mso-wrap-distance-bottom:0.0pt;" stroked="f">
                <v:path textboxrect="0,0,0,0"/>
                <v:imagedata r:id="rId15" o:title=""/>
              </v:shape>
            </w:pict>
          </mc:Fallback>
        </mc:AlternateConten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（2）汇聚层设计规划</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264150" cy="1060450"/>
                <wp:effectExtent l="0" t="0" r="12700" b="635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6"/>
                        <a:stretch/>
                      </pic:blipFill>
                      <pic:spPr bwMode="auto">
                        <a:xfrm>
                          <a:off x="0" y="0"/>
                          <a:ext cx="5264150" cy="1060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5pt;height:83.5pt;mso-wrap-distance-left:0.0pt;mso-wrap-distance-top:0.0pt;mso-wrap-distance-right:0.0pt;mso-wrap-distance-bottom:0.0pt;" stroked="f">
                <v:path textboxrect="0,0,0,0"/>
                <v:imagedata r:id="rId16" o:title=""/>
              </v:shape>
            </w:pict>
          </mc:Fallback>
        </mc:AlternateConten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（3）接入层设计规划</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270500" cy="1168400"/>
                <wp:effectExtent l="0" t="0" r="6350" b="1270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7"/>
                        <a:stretch/>
                      </pic:blipFill>
                      <pic:spPr bwMode="auto">
                        <a:xfrm>
                          <a:off x="0" y="0"/>
                          <a:ext cx="5270500" cy="1168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0pt;height:92.0pt;mso-wrap-distance-left:0.0pt;mso-wrap-distance-top:0.0pt;mso-wrap-distance-right:0.0pt;mso-wrap-distance-bottom:0.0pt;" stroked="f">
                <v:path textboxrect="0,0,0,0"/>
                <v:imagedata r:id="rId17" o:title=""/>
              </v:shape>
            </w:pict>
          </mc:Fallback>
        </mc:AlternateConten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在接入层方面采用XGS-PON方案，XGS-PON方案具备上下行均为10Gbps的能力，现网每个房间采用分光比的对比如下：</w:t>
      </w:r>
      <w:r/>
    </w:p>
    <w:tbl>
      <w:tblPr>
        <w:tblStyle w:val="693"/>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4"/>
        <w:gridCol w:w="2344"/>
        <w:gridCol w:w="5651"/>
      </w:tblGrid>
      <w:tr>
        <w:trPr>
          <w:jc w:val="center"/>
        </w:trPr>
        <w:tc>
          <w:tcPr>
            <w:tcW w:w="1114" w:type="dxa"/>
            <w:textDirection w:val="lrTb"/>
            <w:noWrap w:val="false"/>
          </w:tcPr>
          <w:p>
            <w:pPr>
              <w:pStyle w:val="1411"/>
              <w:rPr>
                <w:rFonts w:hint="default"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分光比</w:t>
            </w:r>
            <w:r/>
          </w:p>
        </w:tc>
        <w:tc>
          <w:tcPr>
            <w:tcW w:w="2344" w:type="dxa"/>
            <w:textDirection w:val="lrTb"/>
            <w:noWrap w:val="false"/>
          </w:tcPr>
          <w:p>
            <w:pPr>
              <w:pStyle w:val="1411"/>
              <w:rPr>
                <w:rFonts w:hint="default"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上下行链路总带宽</w:t>
            </w:r>
            <w:r/>
          </w:p>
        </w:tc>
        <w:tc>
          <w:tcPr>
            <w:tcW w:w="5651" w:type="dxa"/>
            <w:textDirection w:val="lrTb"/>
            <w:noWrap w:val="false"/>
          </w:tcPr>
          <w:p>
            <w:pPr>
              <w:pStyle w:val="1411"/>
              <w:rPr>
                <w:rFonts w:hint="default"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极限峰值情况下单房间总带宽（=总带宽/分光比）</w:t>
            </w:r>
            <w:r/>
          </w:p>
        </w:tc>
      </w:tr>
      <w:tr>
        <w:trPr>
          <w:jc w:val="center"/>
        </w:trPr>
        <w:tc>
          <w:tcPr>
            <w:tcW w:w="1114" w:type="dxa"/>
            <w:textDirection w:val="lrTb"/>
            <w:noWrap w:val="false"/>
          </w:tcPr>
          <w:p>
            <w:pPr>
              <w:pStyle w:val="1411"/>
              <w:rPr>
                <w:rFonts w:hint="default"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2比8</w:t>
            </w:r>
            <w:r/>
          </w:p>
        </w:tc>
        <w:tc>
          <w:tcPr>
            <w:tcW w:w="2344" w:type="dxa"/>
            <w:textDirection w:val="lrTb"/>
            <w:noWrap w:val="false"/>
          </w:tcPr>
          <w:p>
            <w:pPr>
              <w:pStyle w:val="1411"/>
              <w:rPr>
                <w:rFonts w:hint="default"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10Gbps</w:t>
            </w:r>
            <w:r/>
          </w:p>
        </w:tc>
        <w:tc>
          <w:tcPr>
            <w:tcW w:w="5651" w:type="dxa"/>
            <w:textDirection w:val="lrTb"/>
            <w:noWrap w:val="false"/>
          </w:tcPr>
          <w:p>
            <w:pPr>
              <w:pStyle w:val="1411"/>
              <w:rPr>
                <w:rFonts w:hint="default"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1250Mbps（10000/8）</w:t>
            </w:r>
            <w:r/>
          </w:p>
        </w:tc>
      </w:tr>
      <w:tr>
        <w:trPr>
          <w:jc w:val="center"/>
        </w:trPr>
        <w:tc>
          <w:tcPr>
            <w:tcW w:w="1114" w:type="dxa"/>
            <w:textDirection w:val="lrTb"/>
            <w:noWrap w:val="false"/>
          </w:tcPr>
          <w:p>
            <w:pPr>
              <w:pStyle w:val="1411"/>
              <w:rPr>
                <w:rFonts w:hint="default"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2比4</w:t>
            </w:r>
            <w:r/>
          </w:p>
        </w:tc>
        <w:tc>
          <w:tcPr>
            <w:tcW w:w="2344" w:type="dxa"/>
            <w:textDirection w:val="lrTb"/>
            <w:noWrap w:val="false"/>
          </w:tcPr>
          <w:p>
            <w:pPr>
              <w:pStyle w:val="1411"/>
              <w:rPr>
                <w:rFonts w:hint="default"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10Gbps</w:t>
            </w:r>
            <w:r/>
          </w:p>
        </w:tc>
        <w:tc>
          <w:tcPr>
            <w:tcW w:w="5651" w:type="dxa"/>
            <w:textDirection w:val="lrTb"/>
            <w:noWrap w:val="false"/>
          </w:tcPr>
          <w:p>
            <w:pPr>
              <w:pStyle w:val="1411"/>
              <w:rPr>
                <w:rFonts w:hint="default"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2500Mbps（10000/4）</w:t>
            </w:r>
            <w:r/>
          </w:p>
        </w:tc>
      </w:tr>
    </w:tbl>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如上表所示，当选择2比8分光比时，单个房间极限总带宽可达到1250Mbps。此分光比用于此次校园网改造的一般场景。</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当选择2比4 分光比时，单个房间极限总带宽可达到2500Mbps。此分光比用于此次校园网改造的云计算机房场景。</w:t>
      </w:r>
      <w:r/>
    </w:p>
    <w:p>
      <w:pPr>
        <w:pStyle w:val="668"/>
        <w:ind w:firstLine="56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3.教室接入场景设计</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（1）组网设备部署1台((POE)8*GE+2*2.5GE)XGSPON,设备安装于教室新建弱电箱内，弱电箱安装高度2.5米。线缆布放2芯光缆至弱电间，皮缆水平过道部分利旧原有桥架或新建PVC管，光缆入教室内至弱电箱处需开槽暗敷PVC管</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（2）教室内安装AP，AP吸顶安装，新放网线，明线槽敷设。</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（3）利旧原有摄像头、中控、云桌面、智慧黑板。网线均重新布放，明线槽敷设，讲台地面部分需暗敷。</w:t>
      </w:r>
      <w:r/>
    </w:p>
    <w:p>
      <w:pPr>
        <w:pStyle w:val="1412"/>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3878580" cy="4027170"/>
                <wp:effectExtent l="0" t="0" r="7620" b="1143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8"/>
                        <a:stretch/>
                      </pic:blipFill>
                      <pic:spPr bwMode="auto">
                        <a:xfrm>
                          <a:off x="0" y="0"/>
                          <a:ext cx="3878580" cy="4027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05.4pt;height:317.1pt;mso-wrap-distance-left:0.0pt;mso-wrap-distance-top:0.0pt;mso-wrap-distance-right:0.0pt;mso-wrap-distance-bottom:0.0pt;" stroked="f">
                <v:path textboxrect="0,0,0,0"/>
                <v:imagedata r:id="rId18" o:title=""/>
              </v:shape>
            </w:pict>
          </mc:Fallback>
        </mc:AlternateContent>
      </w:r>
      <w:r/>
    </w:p>
    <w:p>
      <w:pPr>
        <w:pStyle w:val="668"/>
        <w:ind w:firstLine="56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 实训室接入场景设计</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组网设备部署1台(POE)8*GE+2*2.5GE)XGSPON,设备安装于实训室新建弱电箱内，弱电箱安装高度2.5米。线缆布放2芯光缆至弱电间，皮缆水平过道部分利旧原有桥架或新建PVC管，光缆入实训室内至弱电箱处需开槽暗敷PVC管</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（2）实训室内安装AP，AP吸顶安装，新放网线，明线槽敷设。</w:t>
      </w:r>
      <w:r/>
    </w:p>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3725545" cy="3977640"/>
                <wp:effectExtent l="0" t="0" r="8255" b="381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9"/>
                        <a:stretch/>
                      </pic:blipFill>
                      <pic:spPr bwMode="auto">
                        <a:xfrm>
                          <a:off x="0" y="0"/>
                          <a:ext cx="3725545" cy="3977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93.3pt;height:313.2pt;mso-wrap-distance-left:0.0pt;mso-wrap-distance-top:0.0pt;mso-wrap-distance-right:0.0pt;mso-wrap-distance-bottom:0.0pt;" stroked="f">
                <v:path textboxrect="0,0,0,0"/>
                <v:imagedata r:id="rId19" o:title=""/>
              </v:shape>
            </w:pict>
          </mc:Fallback>
        </mc:AlternateContent>
      </w:r>
      <w:r/>
    </w:p>
    <w:p>
      <w:pPr>
        <w:pStyle w:val="668"/>
        <w:ind w:firstLine="56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5.实训区域接入场景设计</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（1）部署多台(POE)8*GE+2*2.5GE)XGSPON,设备安装于实训区域新建弱电箱内，弱电箱安装高度2.5米。</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（2）实训区域安装AP，AP吸顶/壁挂安装，新放网线，PVC管暗敷。</w:t>
      </w:r>
      <w:r/>
    </w:p>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4490085" cy="1729740"/>
                <wp:effectExtent l="0" t="0" r="5715" b="381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r/>
                      </pic:nvPicPr>
                      <pic:blipFill>
                        <a:blip r:embed="rId20"/>
                        <a:stretch/>
                      </pic:blipFill>
                      <pic:spPr bwMode="auto">
                        <a:xfrm>
                          <a:off x="0" y="0"/>
                          <a:ext cx="4490085" cy="1729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53.5pt;height:136.2pt;mso-wrap-distance-left:0.0pt;mso-wrap-distance-top:0.0pt;mso-wrap-distance-right:0.0pt;mso-wrap-distance-bottom:0.0pt;" stroked="f">
                <v:path textboxrect="0,0,0,0"/>
                <v:imagedata r:id="rId20" o:title=""/>
              </v:shape>
            </w:pict>
          </mc:Fallback>
        </mc:AlternateContent>
      </w:r>
      <w:r/>
    </w:p>
    <w:p>
      <w:pPr>
        <w:pStyle w:val="668"/>
        <w:ind w:firstLine="56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 云桌面机房接入场景设计</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（1）组网设备部署1台(POE)8*GE+2*2.5GE)XGSPON,设备安装于云桌面机房原有机柜内。线缆利旧原有光缆。</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（2）云桌面机房内安装AP，AP吸顶安装，新放网线，明线槽敷设。</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（3）云桌面机房原有机柜部署XGSPON用于串接原有交换机，1台端口满接的48口交换机上联ONU2.5G网口，1台未端口满接的48口交换机上联ONU千兆网口。</w:t>
      </w:r>
      <w:r/>
    </w:p>
    <w:p>
      <w:pPr>
        <w:ind w:firstLine="420"/>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3711575" cy="3745230"/>
                <wp:effectExtent l="0" t="0" r="3175" b="762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r/>
                      </pic:nvPicPr>
                      <pic:blipFill>
                        <a:blip r:embed="rId21"/>
                        <a:stretch/>
                      </pic:blipFill>
                      <pic:spPr bwMode="auto">
                        <a:xfrm>
                          <a:off x="0" y="0"/>
                          <a:ext cx="3711575" cy="3745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92.2pt;height:294.9pt;mso-wrap-distance-left:0.0pt;mso-wrap-distance-top:0.0pt;mso-wrap-distance-right:0.0pt;mso-wrap-distance-bottom:0.0pt;" stroked="f">
                <v:path textboxrect="0,0,0,0"/>
                <v:imagedata r:id="rId21" o:title=""/>
              </v:shape>
            </w:pict>
          </mc:Fallback>
        </mc:AlternateContent>
      </w:r>
      <w:r/>
    </w:p>
    <w:p>
      <w:pPr>
        <w:pStyle w:val="668"/>
        <w:ind w:firstLine="56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 办公室、工作室、学生会接入场景设计</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组网设备部署1台(POE)8*GE+2*2.5GE)XGSPON,设备安装于房间新建弱电箱内，弱电箱安装高度2.5米。线缆布放2芯光缆至弱电间，皮缆水平过道部分利旧原有桥架或新建PVC管，光缆入房间内至弱电箱处需开槽暗敷PVC管，弱电箱至各终端明线槽敷设。</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（2）房间内安装AP，AP吸顶安装，新放网线，明线槽敷设。</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（3）预留10米网线，10米线槽，用于打印机的线缆预留，具体位置可根据实际情况布放。</w:t>
      </w:r>
      <w:r/>
    </w:p>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2835910" cy="4932045"/>
                <wp:effectExtent l="0" t="0" r="2540" b="190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r/>
                      </pic:nvPicPr>
                      <pic:blipFill>
                        <a:blip r:embed="rId22"/>
                        <a:stretch/>
                      </pic:blipFill>
                      <pic:spPr bwMode="auto">
                        <a:xfrm>
                          <a:off x="0" y="0"/>
                          <a:ext cx="2835910" cy="4932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23.3pt;height:388.3pt;mso-wrap-distance-left:0.0pt;mso-wrap-distance-top:0.0pt;mso-wrap-distance-right:0.0pt;mso-wrap-distance-bottom:0.0pt;" stroked="f">
                <v:path textboxrect="0,0,0,0"/>
                <v:imagedata r:id="rId22" o:title=""/>
              </v:shape>
            </w:pict>
          </mc:Fallback>
        </mc:AlternateContent>
      </w:r>
      <w:r/>
    </w:p>
    <w:p>
      <w:pPr>
        <w:pStyle w:val="668"/>
        <w:ind w:firstLine="56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 会议室、活动室、报告厅接入场景设计</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组网设备部署1台((POE)4*GE+1*2.5GE)XGSPON,设备安装于房间新建弱电箱内，弱电箱安装高度2.5米。线缆布放2芯光缆至弱电间，皮缆水平过道部分利旧原有桥架或新建PVC管，光缆入房间内至弱电箱处需开槽暗敷PVC管，弱电箱至各终端明线槽敷设。</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（2）房间内安装AP，会议室/活动室部署放装AP,报告厅部署高密AP,AP设备新放网线，明线槽敷设。</w:t>
      </w:r>
      <w:r/>
    </w:p>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3630930" cy="3740150"/>
                <wp:effectExtent l="0" t="0" r="7620" b="1270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1"/>
                        <pic:cNvPicPr>
                          <a:picLocks noChangeAspect="1"/>
                        </pic:cNvPicPr>
                        <pic:nvPr/>
                      </pic:nvPicPr>
                      <pic:blipFill>
                        <a:blip r:embed="rId23"/>
                        <a:stretch/>
                      </pic:blipFill>
                      <pic:spPr bwMode="auto">
                        <a:xfrm>
                          <a:off x="0" y="0"/>
                          <a:ext cx="3630930" cy="3740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85.9pt;height:294.5pt;mso-wrap-distance-left:0.0pt;mso-wrap-distance-top:0.0pt;mso-wrap-distance-right:0.0pt;mso-wrap-distance-bottom:0.0pt;" stroked="f">
                <v:path textboxrect="0,0,0,0"/>
                <v:imagedata r:id="rId23" o:title=""/>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3712845" cy="4874260"/>
                <wp:effectExtent l="0" t="0" r="1905" b="254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2"/>
                        <pic:cNvPicPr>
                          <a:picLocks noChangeAspect="1"/>
                        </pic:cNvPicPr>
                        <pic:nvPr/>
                      </pic:nvPicPr>
                      <pic:blipFill>
                        <a:blip r:embed="rId24"/>
                        <a:stretch/>
                      </pic:blipFill>
                      <pic:spPr bwMode="auto">
                        <a:xfrm>
                          <a:off x="0" y="0"/>
                          <a:ext cx="3712845" cy="4874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92.3pt;height:383.8pt;mso-wrap-distance-left:0.0pt;mso-wrap-distance-top:0.0pt;mso-wrap-distance-right:0.0pt;mso-wrap-distance-bottom:0.0pt;" stroked="f">
                <v:path textboxrect="0,0,0,0"/>
                <v:imagedata r:id="rId24" o:title=""/>
              </v:shape>
            </w:pict>
          </mc:Fallback>
        </mc:AlternateContent>
      </w:r>
      <w:r/>
    </w:p>
    <w:p>
      <w:pPr>
        <w:pStyle w:val="668"/>
        <w:ind w:firstLine="56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9.宾馆接入场景设计</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（1）组网设备部署多台(POE)24*GE)XGSPON,设备安装于弱电间内，用于替换原有网络交换机。利旧原有房间内网线，用4口面板AP替换原房间内网络面板。</w:t>
      </w:r>
      <w:r/>
    </w:p>
    <w:p>
      <w:pPr>
        <w:ind w:firstLine="420"/>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2335530" cy="4353560"/>
                <wp:effectExtent l="0" t="0" r="7620" b="889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3"/>
                        <pic:cNvPicPr>
                          <a:picLocks noChangeAspect="1"/>
                        </pic:cNvPicPr>
                        <pic:nvPr/>
                      </pic:nvPicPr>
                      <pic:blipFill>
                        <a:blip r:embed="rId25"/>
                        <a:stretch/>
                      </pic:blipFill>
                      <pic:spPr bwMode="auto">
                        <a:xfrm>
                          <a:off x="0" y="0"/>
                          <a:ext cx="2335530" cy="4353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83.9pt;height:342.8pt;mso-wrap-distance-left:0.0pt;mso-wrap-distance-top:0.0pt;mso-wrap-distance-right:0.0pt;mso-wrap-distance-bottom:0.0pt;" stroked="f">
                <v:path textboxrect="0,0,0,0"/>
                <v:imagedata r:id="rId25" o:title=""/>
              </v:shape>
            </w:pict>
          </mc:Fallback>
        </mc:AlternateContent>
      </w:r>
      <w:r/>
    </w:p>
    <w:p>
      <w:pPr>
        <w:pStyle w:val="668"/>
        <w:ind w:firstLine="56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 食堂/展厅等公共区域</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（1）部署多台(POE)8*GE+2*2.5GE)XGSPON,设备安装于公共区域新建弱电箱内，弱电箱安装高度2.5米。公共区域做无线覆盖。</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（2）区域内安装AP，展厅部署放装AP,食堂部署高密AP,AP设备新放网线，明线槽敷设。</w:t>
      </w:r>
      <w:r/>
    </w:p>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3898900" cy="1666875"/>
                <wp:effectExtent l="0" t="0" r="6350" b="952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4"/>
                        <pic:cNvPicPr>
                          <a:picLocks noChangeAspect="1"/>
                        </pic:cNvPicPr>
                        <pic:nvPr/>
                      </pic:nvPicPr>
                      <pic:blipFill>
                        <a:blip r:embed="rId26"/>
                        <a:stretch/>
                      </pic:blipFill>
                      <pic:spPr bwMode="auto">
                        <a:xfrm>
                          <a:off x="0" y="0"/>
                          <a:ext cx="3898900" cy="1666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07.0pt;height:131.2pt;mso-wrap-distance-left:0.0pt;mso-wrap-distance-top:0.0pt;mso-wrap-distance-right:0.0pt;mso-wrap-distance-bottom:0.0pt;" stroked="f">
                <v:path textboxrect="0,0,0,0"/>
                <v:imagedata r:id="rId26" o:title=""/>
              </v:shape>
            </w:pict>
          </mc:Fallback>
        </mc:AlternateContent>
      </w:r>
      <w:r/>
    </w:p>
    <w:p>
      <w:pPr>
        <w:ind w:firstLine="420"/>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4086225" cy="4730750"/>
                <wp:effectExtent l="0" t="0" r="9525" b="1270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5"/>
                        <pic:cNvPicPr>
                          <a:picLocks noChangeAspect="1"/>
                        </pic:cNvPicPr>
                        <pic:nvPr/>
                      </pic:nvPicPr>
                      <pic:blipFill>
                        <a:blip r:embed="rId27"/>
                        <a:stretch/>
                      </pic:blipFill>
                      <pic:spPr bwMode="auto">
                        <a:xfrm>
                          <a:off x="0" y="0"/>
                          <a:ext cx="4086225" cy="4730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321.8pt;height:372.5pt;mso-wrap-distance-left:0.0pt;mso-wrap-distance-top:0.0pt;mso-wrap-distance-right:0.0pt;mso-wrap-distance-bottom:0.0pt;" stroked="f">
                <v:path textboxrect="0,0,0,0"/>
                <v:imagedata r:id="rId27" o:title=""/>
              </v:shape>
            </w:pict>
          </mc:Fallback>
        </mc:AlternateContent>
      </w:r>
      <w:r/>
    </w:p>
    <w:p>
      <w:pPr>
        <w:pStyle w:val="667"/>
        <w:ind w:firstLine="562"/>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2.3.2监控网设计要求</w:t>
      </w:r>
      <w:r/>
    </w:p>
    <w:p>
      <w:pPr>
        <w:pStyle w:val="668"/>
        <w:ind w:firstLine="56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1.逻辑架构设计</w:t>
      </w:r>
      <w:r/>
    </w:p>
    <w:p>
      <w:pPr>
        <w:ind w:firstLine="42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041900" cy="1987550"/>
                <wp:effectExtent l="0" t="0" r="0" b="0"/>
                <wp:docPr id="16" name="图片 16"/>
                <wp:cNvGraphicFramePr/>
                <a:graphic xmlns:a="http://schemas.openxmlformats.org/drawingml/2006/main">
                  <a:graphicData uri="http://schemas.openxmlformats.org/drawingml/2006/picture">
                    <pic:pic xmlns:pic="http://schemas.openxmlformats.org/drawingml/2006/picture">
                      <pic:nvPicPr>
                        <pic:cNvPr id="19" name="图片 16"/>
                        <pic:cNvPicPr/>
                        <pic:nvPr/>
                      </pic:nvPicPr>
                      <pic:blipFill>
                        <a:blip r:embed="rId28"/>
                        <a:stretch/>
                      </pic:blipFill>
                      <pic:spPr bwMode="auto">
                        <a:xfrm>
                          <a:off x="0" y="0"/>
                          <a:ext cx="5041900" cy="1987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97.0pt;height:156.5pt;mso-wrap-distance-left:0.0pt;mso-wrap-distance-top:0.0pt;mso-wrap-distance-right:0.0pt;mso-wrap-distance-bottom:0.0pt;" stroked="f">
                <v:path textboxrect="0,0,0,0"/>
                <v:imagedata r:id="rId28" o:title=""/>
              </v:shape>
            </w:pict>
          </mc:Fallback>
        </mc:AlternateConten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核心层：是监控数据交互的核心，连接校园各个安防部分。通常要部署性能高、稳定性好的交换机，多采用框式中高端交换机。</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汇聚层：介于核心层与接入层之间，全光网络汇聚层采用OLT设备，全光口设计。</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接入层：提供监控设备的接入，设备为ONU。</w:t>
      </w:r>
      <w:r/>
    </w:p>
    <w:p>
      <w:pPr>
        <w:pStyle w:val="668"/>
        <w:ind w:firstLine="56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2.物理架构设计</w:t>
      </w:r>
      <w:r/>
    </w:p>
    <w:p>
      <w:pPr>
        <w:ind w:firstLine="420"/>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3575050" cy="2990850"/>
                <wp:effectExtent l="0" t="0" r="0" b="0"/>
                <wp:docPr id="17" name="图片 17"/>
                <wp:cNvGraphicFramePr/>
                <a:graphic xmlns:a="http://schemas.openxmlformats.org/drawingml/2006/main">
                  <a:graphicData uri="http://schemas.openxmlformats.org/drawingml/2006/picture">
                    <pic:pic xmlns:pic="http://schemas.openxmlformats.org/drawingml/2006/picture">
                      <pic:nvPicPr>
                        <pic:cNvPr id="20" name="图片 17"/>
                        <pic:cNvPicPr/>
                        <pic:nvPr/>
                      </pic:nvPicPr>
                      <pic:blipFill>
                        <a:blip r:embed="rId29"/>
                        <a:stretch/>
                      </pic:blipFill>
                      <pic:spPr bwMode="auto">
                        <a:xfrm>
                          <a:off x="0" y="0"/>
                          <a:ext cx="3575050" cy="2990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281.5pt;height:235.5pt;mso-wrap-distance-left:0.0pt;mso-wrap-distance-top:0.0pt;mso-wrap-distance-right:0.0pt;mso-wrap-distance-bottom:0.0pt;" stroked="f">
                <v:path textboxrect="0,0,0,0"/>
                <v:imagedata r:id="rId29" o:title=""/>
              </v:shape>
            </w:pict>
          </mc:Fallback>
        </mc:AlternateConten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以核心层为中心，各区域汇聚层设备与园区核心构建一个统一网络实现多业务承载；各区域汇聚与接入之间二层互联。接入由ONU组成，提供监控终端的网络接入。</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部署1台核心交换机产品，核心交换机下联1个10G至OLT设备。</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在接入层方面采用XGS-PON方案，XGS-PON方案具备上下行均为10Gbps的能力，现网每台ONU设备采用分光比的对比如下：</w:t>
      </w:r>
      <w:r/>
    </w:p>
    <w:tbl>
      <w:tblPr>
        <w:tblStyle w:val="693"/>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4"/>
        <w:gridCol w:w="2344"/>
        <w:gridCol w:w="5651"/>
      </w:tblGrid>
      <w:tr>
        <w:trPr>
          <w:jc w:val="center"/>
          <w:trHeight w:val="436"/>
        </w:trPr>
        <w:tc>
          <w:tcPr>
            <w:tcW w:w="1114"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分光比</w:t>
            </w:r>
            <w:r/>
          </w:p>
        </w:tc>
        <w:tc>
          <w:tcPr>
            <w:tcW w:w="2344"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上下行链路总带宽</w:t>
            </w:r>
            <w:r/>
          </w:p>
        </w:tc>
        <w:tc>
          <w:tcPr>
            <w:tcW w:w="5651"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极限峰值情况下单设备总带宽（=总带宽/分光比）</w:t>
            </w:r>
            <w:r/>
          </w:p>
        </w:tc>
      </w:tr>
      <w:tr>
        <w:trPr>
          <w:jc w:val="center"/>
          <w:trHeight w:val="566"/>
        </w:trPr>
        <w:tc>
          <w:tcPr>
            <w:tcW w:w="1114"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1比16</w:t>
            </w:r>
            <w:r/>
          </w:p>
        </w:tc>
        <w:tc>
          <w:tcPr>
            <w:tcW w:w="2344"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10Gbps</w:t>
            </w:r>
            <w:r/>
          </w:p>
        </w:tc>
        <w:tc>
          <w:tcPr>
            <w:tcW w:w="5651"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625Mbps（10000/16）</w:t>
            </w:r>
            <w:r/>
          </w:p>
        </w:tc>
      </w:tr>
    </w:tbl>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上表所示，当选择1比16分光比时，单个设备极限总带宽可达到625Mbps。接入层多用4口/8口/24口的ONU设备，监控网多为上行流量，单端口的最大上行带宽分别为，4口设备（156Mbps）、8口设备（78Mbps）、24口设备（26Mbps）；经计算此分光比可满足任何监控网场景。</w:t>
      </w:r>
      <w:r/>
    </w:p>
    <w:p>
      <w:pPr>
        <w:pStyle w:val="668"/>
        <w:ind w:firstLine="56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3.接入场景设计</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将原有弱电间内或室外监控箱内原有网络交换机和监控交换机更换为ONU设备，前端设备及网线利旧（预留部分网线材料用于后期施工更换）。</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（1）室内场景：室内原监控网组网多为24口/48口的POE交换机，本次网络改造用(24GE/POE)XGSPON的ONU设备替换。</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（2）室外场景：室外原监控网组网多为4口/8口的POE交换机，本次网络改造用(4GE/POE)XGSPON和(8GE/POE)XGSPON的ONU设备替换。</w:t>
      </w:r>
      <w:r/>
    </w:p>
    <w:p>
      <w:pPr>
        <w:pStyle w:val="667"/>
        <w:ind w:firstLine="562"/>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2.3.3施工要求</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(1)室内取电要求</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 xml:space="preserve">集中配电管理：</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在各建筑单体部署专用配电箱或利旧原有配电箱，为整栋教学楼的网络设备集中供电，实现供电链路的统一管理与控制，保障供电稳定性。</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 xml:space="preserve">终端直接供电：</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由配电箱引出220V强电线缆，布放至各教室内的弱电箱；</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(2)室外取电方案</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利旧原有监控箱电源。</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（3）本次项目中的OLT、ONU、分光器、AP、AC等光网设备由采购人提供，中标人须按照建设方案要求完成整体光网的施工（包括但不限于综合布线、设备安装、调试）。采购人提供的光网设备清单如下：</w:t>
      </w:r>
      <w:r/>
    </w:p>
    <w:tbl>
      <w:tblPr>
        <w:tblStyle w:val="675"/>
        <w:tblW w:w="6806" w:type="dxa"/>
        <w:tblInd w:w="1660" w:type="dxa"/>
        <w:tblLayout w:type="autofit"/>
        <w:tblCellMar>
          <w:left w:w="108" w:type="dxa"/>
          <w:top w:w="0" w:type="dxa"/>
          <w:right w:w="108" w:type="dxa"/>
          <w:bottom w:w="0" w:type="dxa"/>
        </w:tblCellMar>
        <w:tblLook w:val="04A0" w:firstRow="1" w:lastRow="0" w:firstColumn="1" w:lastColumn="0" w:noHBand="0" w:noVBand="1"/>
      </w:tblPr>
      <w:tblGrid>
        <w:gridCol w:w="560"/>
        <w:gridCol w:w="1720"/>
        <w:gridCol w:w="960"/>
        <w:gridCol w:w="1646"/>
        <w:gridCol w:w="960"/>
        <w:gridCol w:w="960"/>
      </w:tblGrid>
      <w:tr>
        <w:trPr>
          <w:trHeight w:val="288"/>
        </w:trPr>
        <w:tc>
          <w:tcPr>
            <w:shd w:val="clear" w:color="auto" w:fill="auto"/>
            <w:tcBorders>
              <w:top w:val="single" w:color="auto" w:sz="4" w:space="0"/>
              <w:left w:val="single" w:color="auto" w:sz="4" w:space="0"/>
              <w:bottom w:val="single" w:color="auto" w:sz="4" w:space="0"/>
              <w:right w:val="single" w:color="auto" w:sz="4" w:space="0"/>
            </w:tcBorders>
            <w:tcW w:w="5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品牌</w:t>
            </w:r>
            <w:r/>
          </w:p>
        </w:tc>
        <w:tc>
          <w:tcPr>
            <w:shd w:val="clear" w:color="auto" w:fill="auto"/>
            <w:tcBorders>
              <w:top w:val="single" w:color="auto" w:sz="4" w:space="0"/>
              <w:left w:val="none" w:color="000000" w:sz="4" w:space="0"/>
              <w:bottom w:val="single" w:color="auto" w:sz="4" w:space="0"/>
              <w:right w:val="single" w:color="auto" w:sz="4" w:space="0"/>
            </w:tcBorders>
            <w:tcW w:w="1646"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型号</w:t>
            </w:r>
            <w:r/>
          </w:p>
        </w:tc>
        <w:tc>
          <w:tcPr>
            <w:shd w:val="clear" w:color="auto" w:fill="auto"/>
            <w:tcBorders>
              <w:top w:val="single" w:color="auto"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单位</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校园网ONU设备1</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H3C</w:t>
            </w:r>
            <w:r/>
          </w:p>
        </w:tc>
        <w:tc>
          <w:tcPr>
            <w:shd w:val="clear" w:color="auto" w:fill="auto"/>
            <w:tcBorders>
              <w:top w:val="none" w:color="000000" w:sz="4" w:space="0"/>
              <w:left w:val="none" w:color="000000" w:sz="4" w:space="0"/>
              <w:bottom w:val="single" w:color="auto" w:sz="4" w:space="0"/>
              <w:right w:val="single" w:color="auto" w:sz="4" w:space="0"/>
            </w:tcBorders>
            <w:tcW w:w="1646"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EGT905-H-PD</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台</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校园网ONU设备2</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H3C</w:t>
            </w:r>
            <w:r/>
          </w:p>
        </w:tc>
        <w:tc>
          <w:tcPr>
            <w:shd w:val="clear" w:color="auto" w:fill="auto"/>
            <w:tcBorders>
              <w:top w:val="none" w:color="000000" w:sz="4" w:space="0"/>
              <w:left w:val="none" w:color="000000" w:sz="4" w:space="0"/>
              <w:bottom w:val="single" w:color="auto" w:sz="4" w:space="0"/>
              <w:right w:val="single" w:color="auto" w:sz="4" w:space="0"/>
            </w:tcBorders>
            <w:tcW w:w="1646"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EGT910-H-PD</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696</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台</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校园网ONU设备3</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H3C</w:t>
            </w:r>
            <w:r/>
          </w:p>
        </w:tc>
        <w:tc>
          <w:tcPr>
            <w:shd w:val="clear" w:color="auto" w:fill="auto"/>
            <w:tcBorders>
              <w:top w:val="none" w:color="000000" w:sz="4" w:space="0"/>
              <w:left w:val="none" w:color="000000" w:sz="4" w:space="0"/>
              <w:bottom w:val="single" w:color="auto" w:sz="4" w:space="0"/>
              <w:right w:val="single" w:color="auto" w:sz="4" w:space="0"/>
            </w:tcBorders>
            <w:tcW w:w="1646"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ET924-H-POE</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台</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放装AP</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H3C</w:t>
            </w:r>
            <w:r/>
          </w:p>
        </w:tc>
        <w:tc>
          <w:tcPr>
            <w:shd w:val="clear" w:color="auto" w:fill="auto"/>
            <w:tcBorders>
              <w:top w:val="none" w:color="000000" w:sz="4" w:space="0"/>
              <w:left w:val="none" w:color="000000" w:sz="4" w:space="0"/>
              <w:bottom w:val="single" w:color="auto" w:sz="4" w:space="0"/>
              <w:right w:val="single" w:color="auto" w:sz="4" w:space="0"/>
            </w:tcBorders>
            <w:tcW w:w="1646"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WA7220-HI</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702</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台</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高密AP</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H3C</w:t>
            </w:r>
            <w:r/>
          </w:p>
        </w:tc>
        <w:tc>
          <w:tcPr>
            <w:shd w:val="clear" w:color="auto" w:fill="auto"/>
            <w:tcBorders>
              <w:top w:val="none" w:color="000000" w:sz="4" w:space="0"/>
              <w:left w:val="none" w:color="000000" w:sz="4" w:space="0"/>
              <w:bottom w:val="single" w:color="auto" w:sz="4" w:space="0"/>
              <w:right w:val="single" w:color="auto" w:sz="4" w:space="0"/>
            </w:tcBorders>
            <w:tcW w:w="1646"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WA7230</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台</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面板AP</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H3C</w:t>
            </w:r>
            <w:r/>
          </w:p>
        </w:tc>
        <w:tc>
          <w:tcPr>
            <w:shd w:val="clear" w:color="auto" w:fill="auto"/>
            <w:tcBorders>
              <w:top w:val="none" w:color="000000" w:sz="4" w:space="0"/>
              <w:left w:val="none" w:color="000000" w:sz="4" w:space="0"/>
              <w:bottom w:val="single" w:color="auto" w:sz="4" w:space="0"/>
              <w:right w:val="single" w:color="auto" w:sz="4" w:space="0"/>
            </w:tcBorders>
            <w:tcW w:w="1646"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WA7220H-EI</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155</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台</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2：8分光器</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H3C</w:t>
            </w:r>
            <w:r/>
          </w:p>
        </w:tc>
        <w:tc>
          <w:tcPr>
            <w:shd w:val="clear" w:color="auto" w:fill="auto"/>
            <w:tcBorders>
              <w:top w:val="none" w:color="000000" w:sz="4" w:space="0"/>
              <w:left w:val="none" w:color="000000" w:sz="4" w:space="0"/>
              <w:bottom w:val="single" w:color="auto" w:sz="4" w:space="0"/>
              <w:right w:val="single" w:color="auto" w:sz="4" w:space="0"/>
            </w:tcBorders>
            <w:tcW w:w="1646"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插片式2：8分光器</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个</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2：4分光器</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H3C</w:t>
            </w:r>
            <w:r/>
          </w:p>
        </w:tc>
        <w:tc>
          <w:tcPr>
            <w:shd w:val="clear" w:color="auto" w:fill="auto"/>
            <w:tcBorders>
              <w:top w:val="none" w:color="000000" w:sz="4" w:space="0"/>
              <w:left w:val="none" w:color="000000" w:sz="4" w:space="0"/>
              <w:bottom w:val="single" w:color="auto" w:sz="4" w:space="0"/>
              <w:right w:val="single" w:color="auto" w:sz="4" w:space="0"/>
            </w:tcBorders>
            <w:tcW w:w="1646"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插片式2：8分光器</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个</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10db光衰器</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H3C</w:t>
            </w:r>
            <w:r/>
          </w:p>
        </w:tc>
        <w:tc>
          <w:tcPr>
            <w:shd w:val="clear" w:color="auto" w:fill="auto"/>
            <w:tcBorders>
              <w:top w:val="none" w:color="000000" w:sz="4" w:space="0"/>
              <w:left w:val="none" w:color="000000" w:sz="4" w:space="0"/>
              <w:bottom w:val="single" w:color="auto" w:sz="4" w:space="0"/>
              <w:right w:val="single" w:color="auto" w:sz="4" w:space="0"/>
            </w:tcBorders>
            <w:tcW w:w="1646"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10db光衰器</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212</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个</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1：16分光器</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H3C</w:t>
            </w:r>
            <w:r/>
          </w:p>
        </w:tc>
        <w:tc>
          <w:tcPr>
            <w:shd w:val="clear" w:color="auto" w:fill="auto"/>
            <w:tcBorders>
              <w:top w:val="none" w:color="000000" w:sz="4" w:space="0"/>
              <w:left w:val="none" w:color="000000" w:sz="4" w:space="0"/>
              <w:bottom w:val="single" w:color="auto" w:sz="4" w:space="0"/>
              <w:right w:val="single" w:color="auto" w:sz="4" w:space="0"/>
            </w:tcBorders>
            <w:tcW w:w="1646"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插片式1：16分光器</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个</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5db光衰器</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H3C</w:t>
            </w:r>
            <w:r/>
          </w:p>
        </w:tc>
        <w:tc>
          <w:tcPr>
            <w:shd w:val="clear" w:color="auto" w:fill="auto"/>
            <w:tcBorders>
              <w:top w:val="none" w:color="000000" w:sz="4" w:space="0"/>
              <w:left w:val="none" w:color="000000" w:sz="4" w:space="0"/>
              <w:bottom w:val="single" w:color="auto" w:sz="4" w:space="0"/>
              <w:right w:val="single" w:color="auto" w:sz="4" w:space="0"/>
            </w:tcBorders>
            <w:tcW w:w="1646"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5db光衰器</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个</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校园网OLT</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H3C</w:t>
            </w:r>
            <w:r/>
          </w:p>
        </w:tc>
        <w:tc>
          <w:tcPr>
            <w:shd w:val="clear" w:color="auto" w:fill="auto"/>
            <w:tcBorders>
              <w:top w:val="none" w:color="000000" w:sz="4" w:space="0"/>
              <w:left w:val="none" w:color="000000" w:sz="4" w:space="0"/>
              <w:bottom w:val="single" w:color="auto" w:sz="4" w:space="0"/>
              <w:right w:val="single" w:color="auto" w:sz="4" w:space="0"/>
            </w:tcBorders>
            <w:tcW w:w="1646"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7510X-G</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台</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监控网OLT</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H3C</w:t>
            </w:r>
            <w:r/>
          </w:p>
        </w:tc>
        <w:tc>
          <w:tcPr>
            <w:shd w:val="clear" w:color="auto" w:fill="auto"/>
            <w:tcBorders>
              <w:top w:val="none" w:color="000000" w:sz="4" w:space="0"/>
              <w:left w:val="none" w:color="000000" w:sz="4" w:space="0"/>
              <w:bottom w:val="single" w:color="auto" w:sz="4" w:space="0"/>
              <w:right w:val="single" w:color="auto" w:sz="4" w:space="0"/>
            </w:tcBorders>
            <w:tcW w:w="1646"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S7506X-G</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台</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5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14</w:t>
            </w:r>
            <w:r/>
          </w:p>
        </w:tc>
        <w:tc>
          <w:tcPr>
            <w:shd w:val="clear" w:color="auto" w:fill="auto"/>
            <w:tcBorders>
              <w:top w:val="single" w:color="auto"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板卡</w:t>
            </w:r>
            <w:r/>
          </w:p>
        </w:tc>
        <w:tc>
          <w:tcPr>
            <w:shd w:val="clear" w:color="auto" w:fill="auto"/>
            <w:tcBorders>
              <w:top w:val="single" w:color="auto"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H3C</w:t>
            </w:r>
            <w:r/>
          </w:p>
        </w:tc>
        <w:tc>
          <w:tcPr>
            <w:shd w:val="clear" w:color="auto" w:fill="auto"/>
            <w:tcBorders>
              <w:top w:val="single" w:color="auto" w:sz="4" w:space="0"/>
              <w:left w:val="none" w:color="000000" w:sz="4" w:space="0"/>
              <w:bottom w:val="single" w:color="auto" w:sz="4" w:space="0"/>
              <w:right w:val="single" w:color="auto" w:sz="4" w:space="0"/>
            </w:tcBorders>
            <w:tcW w:w="1646"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LSCM2XPG24SF0</w:t>
            </w:r>
            <w:r/>
          </w:p>
        </w:tc>
        <w:tc>
          <w:tcPr>
            <w:shd w:val="clear" w:color="auto" w:fill="auto"/>
            <w:tcBorders>
              <w:top w:val="single" w:color="auto"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块</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5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shd w:val="clear" w:color="auto" w:fill="auto"/>
            <w:tcBorders>
              <w:top w:val="single" w:color="auto" w:sz="4" w:space="0"/>
              <w:left w:val="none" w:color="000000" w:sz="4" w:space="0"/>
              <w:bottom w:val="single" w:color="auto" w:sz="4" w:space="0"/>
              <w:right w:val="single" w:color="auto" w:sz="4" w:space="0"/>
            </w:tcBorders>
            <w:tcW w:w="172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AC控制器</w:t>
            </w:r>
            <w:r/>
          </w:p>
        </w:tc>
        <w:tc>
          <w:tcPr>
            <w:shd w:val="clear" w:color="auto" w:fill="auto"/>
            <w:tcBorders>
              <w:top w:val="single" w:color="auto" w:sz="4" w:space="0"/>
              <w:left w:val="none" w:color="000000" w:sz="4" w:space="0"/>
              <w:bottom w:val="single" w:color="auto" w:sz="4" w:space="0"/>
              <w:right w:val="single" w:color="auto" w:sz="4" w:space="0"/>
            </w:tcBorders>
            <w:tcW w:w="960" w:type="dxa"/>
            <w:vAlign w:val="center"/>
            <w:textDirection w:val="lrTb"/>
            <w:noWrap/>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H3C</w:t>
            </w:r>
            <w:r/>
          </w:p>
        </w:tc>
        <w:tc>
          <w:tcPr>
            <w:shd w:val="clear" w:color="auto" w:fill="auto"/>
            <w:tcBorders>
              <w:top w:val="single" w:color="auto" w:sz="4" w:space="0"/>
              <w:left w:val="none" w:color="000000" w:sz="4" w:space="0"/>
              <w:bottom w:val="single" w:color="auto" w:sz="4" w:space="0"/>
              <w:right w:val="single" w:color="auto" w:sz="4" w:space="0"/>
            </w:tcBorders>
            <w:tcW w:w="1646"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台</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5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16</w:t>
            </w:r>
            <w:r/>
          </w:p>
        </w:tc>
        <w:tc>
          <w:tcPr>
            <w:shd w:val="clear" w:color="auto" w:fill="auto"/>
            <w:tcBorders>
              <w:top w:val="single" w:color="auto" w:sz="4" w:space="0"/>
              <w:left w:val="none" w:color="000000" w:sz="4" w:space="0"/>
              <w:bottom w:val="single" w:color="auto" w:sz="4" w:space="0"/>
              <w:right w:val="single" w:color="auto" w:sz="4" w:space="0"/>
            </w:tcBorders>
            <w:tcW w:w="172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上网行为管理</w:t>
            </w:r>
            <w:r/>
          </w:p>
        </w:tc>
        <w:tc>
          <w:tcPr>
            <w:shd w:val="clear" w:color="auto" w:fill="auto"/>
            <w:tcBorders>
              <w:top w:val="single" w:color="auto" w:sz="4" w:space="0"/>
              <w:left w:val="none" w:color="000000" w:sz="4" w:space="0"/>
              <w:bottom w:val="single" w:color="auto" w:sz="4" w:space="0"/>
              <w:right w:val="single" w:color="auto" w:sz="4" w:space="0"/>
            </w:tcBorders>
            <w:tcW w:w="960" w:type="dxa"/>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深信服</w:t>
            </w:r>
            <w:r/>
          </w:p>
        </w:tc>
        <w:tc>
          <w:tcPr>
            <w:shd w:val="clear" w:color="auto" w:fill="auto"/>
            <w:tcBorders>
              <w:top w:val="single" w:color="auto" w:sz="4" w:space="0"/>
              <w:left w:val="none" w:color="000000" w:sz="4" w:space="0"/>
              <w:bottom w:val="single" w:color="auto" w:sz="4" w:space="0"/>
              <w:right w:val="single" w:color="auto" w:sz="4" w:space="0"/>
            </w:tcBorders>
            <w:tcW w:w="1646"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台</w:t>
            </w:r>
            <w:r/>
          </w:p>
        </w:tc>
      </w:tr>
    </w:tbl>
    <w:p>
      <w:pPr>
        <w:pStyle w:val="666"/>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2.4采购清单</w:t>
      </w:r>
      <w:r/>
    </w:p>
    <w:tbl>
      <w:tblPr>
        <w:tblStyle w:val="675"/>
        <w:tblW w:w="39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2"/>
        <w:gridCol w:w="2457"/>
        <w:gridCol w:w="1709"/>
        <w:gridCol w:w="1709"/>
      </w:tblGrid>
      <w:tr>
        <w:trPr>
          <w:jc w:val="center"/>
        </w:trPr>
        <w:tc>
          <w:tcPr>
            <w:shd w:val="clear" w:color="auto" w:fill="auto"/>
            <w:tcW w:w="1002" w:type="pct"/>
            <w:vAlign w:val="center"/>
            <w:textDirection w:val="lrTb"/>
            <w:noWrap w:val="false"/>
          </w:tcPr>
          <w:p>
            <w:pPr>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序号</w:t>
            </w:r>
            <w:r/>
          </w:p>
        </w:tc>
        <w:tc>
          <w:tcPr>
            <w:shd w:val="clear" w:color="auto" w:fill="auto"/>
            <w:tcW w:w="1672" w:type="pct"/>
            <w:vAlign w:val="center"/>
            <w:textDirection w:val="lrTb"/>
            <w:noWrap w:val="false"/>
          </w:tcPr>
          <w:p>
            <w:pPr>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名称</w:t>
            </w:r>
            <w:r/>
          </w:p>
        </w:tc>
        <w:tc>
          <w:tcPr>
            <w:shd w:val="clear" w:color="auto" w:fill="auto"/>
            <w:tcW w:w="1163" w:type="pct"/>
            <w:vAlign w:val="center"/>
            <w:textDirection w:val="lrTb"/>
            <w:noWrap w:val="false"/>
          </w:tcPr>
          <w:p>
            <w:pPr>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数量</w:t>
            </w:r>
            <w:r/>
          </w:p>
        </w:tc>
        <w:tc>
          <w:tcPr>
            <w:shd w:val="clear" w:color="auto" w:fill="auto"/>
            <w:tcW w:w="1163" w:type="pct"/>
            <w:vAlign w:val="center"/>
            <w:textDirection w:val="lrTb"/>
            <w:noWrap w:val="false"/>
          </w:tcPr>
          <w:p>
            <w:pPr>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单位</w:t>
            </w:r>
            <w:r/>
          </w:p>
        </w:tc>
      </w:tr>
      <w:tr>
        <w:trPr>
          <w:jc w:val="center"/>
        </w:trPr>
        <w:tc>
          <w:tcPr>
            <w:shd w:val="clear" w:color="000000" w:fill="ffffff"/>
            <w:tcW w:w="1002"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防火墙</w:t>
            </w:r>
            <w:r/>
          </w:p>
        </w:tc>
        <w:tc>
          <w:tcPr>
            <w:shd w:val="clear" w:color="000000" w:fill="ffffff"/>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shd w:val="clear" w:color="000000" w:fill="ffffff"/>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r>
      <w:tr>
        <w:trPr>
          <w:jc w:val="center"/>
        </w:trPr>
        <w:tc>
          <w:tcPr>
            <w:shd w:val="clear" w:color="000000" w:fill="ffffff"/>
            <w:tcW w:w="1002"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校园网核心交换机</w:t>
            </w:r>
            <w:r/>
          </w:p>
        </w:tc>
        <w:tc>
          <w:tcPr>
            <w:shd w:val="clear" w:color="000000" w:fill="ffffff"/>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shd w:val="clear" w:color="000000" w:fill="ffffff"/>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r>
      <w:tr>
        <w:trPr>
          <w:jc w:val="center"/>
        </w:trPr>
        <w:tc>
          <w:tcPr>
            <w:shd w:val="clear" w:color="000000" w:fill="ffffff"/>
            <w:tcW w:w="1002"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WiFi7无线网卡</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400</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r>
      <w:tr>
        <w:trPr>
          <w:jc w:val="center"/>
        </w:trPr>
        <w:tc>
          <w:tcPr>
            <w:shd w:val="clear" w:color="000000" w:fill="ffffff"/>
            <w:tcW w:w="1002"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40G光模块</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块</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10G光模块</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94</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块</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网管系统</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弱电箱</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707</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42U机柜</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144芯光纤配线架</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48芯分纤箱</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光纤跳纤</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220</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光纤跳纤</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1225</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光纤尾纤</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1524</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光纤熔接</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6580</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芯</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2芯光纤</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39180</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12芯光缆</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14955</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48芯光缆</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3465</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6类UTP四对双绞线</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20018</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电源线</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900</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电源线</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6954</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电源线</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150</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电源线</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20PVC管</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6954</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25PVC管</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4810</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PVC线槽</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19468</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PVC过线盒</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1470</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12芯光纤配线架</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24芯光缆</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5905</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24芯光纤配线架</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72芯分纤箱</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72芯光缆</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55</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22U机柜</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室外光交箱</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4芯熔纤盒</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4芯光缆</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10000</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20PE管</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1600</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LC光纤跳纤</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LC光纤跳纤</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48芯光纤配线架</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PDU</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理线器</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96</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配电箱</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配电箱</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Pr>
        <w:tc>
          <w:tcPr>
            <w:shd w:val="clear" w:color="000000" w:fill="ffffff"/>
            <w:tcW w:w="100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w:t>
            </w:r>
            <w:r/>
          </w:p>
        </w:tc>
        <w:tc>
          <w:tcPr>
            <w:shd w:val="clear" w:color="000000" w:fill="ffffff"/>
            <w:tcW w:w="1672"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集成服务</w:t>
            </w:r>
            <w:r/>
          </w:p>
        </w:tc>
        <w:tc>
          <w:tcPr>
            <w:shd w:val="clear" w:color="000000" w:fill="ffffff"/>
            <w:tcW w:w="1163"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W w:w="1163" w:type="pct"/>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r>
    </w:tbl>
    <w:p>
      <w:pPr>
        <w:ind w:firstLine="42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666"/>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2.5技术参数要求</w:t>
      </w:r>
      <w:r/>
    </w:p>
    <w:tbl>
      <w:tblPr>
        <w:tblStyle w:val="675"/>
        <w:tblW w:w="5171" w:type="pct"/>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6"/>
        <w:gridCol w:w="1150"/>
        <w:gridCol w:w="7998"/>
      </w:tblGrid>
      <w:tr>
        <w:trPr/>
        <w:tc>
          <w:tcPr>
            <w:shd w:val="clear" w:color="auto" w:fill="auto"/>
            <w:tcW w:w="296" w:type="pct"/>
            <w:vAlign w:val="center"/>
            <w:textDirection w:val="lrTb"/>
            <w:noWrap/>
          </w:tcPr>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序号</w:t>
            </w:r>
            <w:r/>
          </w:p>
        </w:tc>
        <w:tc>
          <w:tcPr>
            <w:tcW w:w="591" w:type="pct"/>
            <w:vAlign w:val="center"/>
            <w:textDirection w:val="lrTb"/>
            <w:noWrap w:val="false"/>
          </w:tcPr>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名称</w:t>
            </w:r>
            <w:r/>
          </w:p>
        </w:tc>
        <w:tc>
          <w:tcPr>
            <w:shd w:val="clear" w:color="auto" w:fill="auto"/>
            <w:tcW w:w="4113" w:type="pct"/>
            <w:vAlign w:val="center"/>
            <w:textDirection w:val="lrTb"/>
            <w:noWrap/>
          </w:tcPr>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招标参数</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防火墙</w:t>
            </w:r>
            <w:r/>
          </w:p>
        </w:tc>
        <w:tc>
          <w:tcPr>
            <w:shd w:val="clear" w:color="auto" w:fill="auto"/>
            <w:tcW w:w="4113" w:type="pct"/>
            <w:vAlign w:val="center"/>
            <w:textDirection w:val="lrTb"/>
            <w:noWrap/>
          </w:tcPr>
          <w:p>
            <w:pPr>
              <w:jc w:val="left"/>
              <w:widowControl/>
              <w:rPr>
                <w:rFonts w:ascii="宋体" w:hAnsi="宋体" w:cs="宋体"/>
                <w:b/>
                <w:bCs/>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1、硬件规格：2U，内存大小≥16G，接口：千兆电口≥16个，万兆光口≥6个,冗余电源。</w:t>
            </w:r>
            <w:r/>
          </w:p>
          <w:p>
            <w:pPr>
              <w:jc w:val="left"/>
              <w:widowControl/>
              <w:rPr>
                <w:rFonts w:ascii="宋体" w:hAnsi="宋体" w:cs="宋体"/>
                <w:b/>
                <w:bCs/>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2、性能参数:网络层吞吐量≥50G，IPS吞吐量：≥8G，AV吞吐量：≥8G,全威胁吞吐量≥7G,最大新建连接数：≥30万,最大并发连接数：900万</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3、支持路由模式、透明模式、虚拟网线模式、旁路镜像模式等多种部署方式。</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4、支持策略路由负载，支持基于服务、ISP地址、应用、地域等维度进行智能选路，保证关键业务流量通过优质链路转发，支持加权流量、带宽比例、线路优先等负载均衡调度算法。</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5、产品支持IPv4/IPv6双栈工作模式，以适应IPv6发展趋势，支持基于应用、服务、时间、域名、IPv6对象等维度的访问控制。</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▲6、产品支持IPSec VPN智能选路功能，根据线路质量和应用实现自动链路切换选路模式支持智能负载选路、按指定顺序选路、优先使用质量最优的线路、按剩余带宽比例负载。</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7、产品支持多维度流量控制功能，支持基于IP地址、用户、应用、时间设置流量控制策略，保证关键业务带宽日常需求。</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▲8、产品支持对不少于9000种应用的识别和控制，应用类型包括游戏、购物、图书百科、工作招聘、P2P下载、聊天工具、旅游出行、股票软件等类型应用进行检测与控制。</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▲9、产品内置不低于16000种漏洞规则，同时支持在控制台界面通过漏洞ID、漏洞名称、危险等级、漏洞CVE标识、漏洞描述等条件查询漏洞特征信息，支持用户自定义IPS规则。</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10、支持基于IMAP、FTP、RDP、VNC、SSH、TELNET、ORACLE、MYSQL、MSSQL等应用协议进行深度检测与防护。</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▲11、产品支持与学校现有的态势感知平台联动，将本地防火墙产品产生的安全日志等数据上报至态势感知平台，并在态势感知平台进行威胁展示。</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▲12、要求所投产品具备中国国家信息安全产品认证证书</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▲13、提供≥5年IPS特征库、僵尸网络防护库、实时漏洞分析识别库、URL&amp;应用识别库、云威胁情报升级，≥5年软件升级服务，≥5年硬件原厂质保。</w:t>
            </w:r>
            <w:r/>
          </w:p>
          <w:p>
            <w:pPr>
              <w:jc w:val="left"/>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14、支持云端威胁情报网关及未知威胁防护，通过全球超过30+pop节点，实现对威胁流量就近进行实时检测&amp;拦截，实现失陷外联实时阻断，保护资产安全，5min内威胁情报全网设备下发，第一时间阻断安全事件，降低通报概率</w:t>
            </w:r>
            <w:r>
              <w:rPr>
                <w:rFonts w:hint="eastAsia" w:ascii="宋体" w:hAnsi="宋体" w:cs="宋体"/>
                <w:color w:val="000000" w:themeColor="text1"/>
                <w:sz w:val="20"/>
                <w:szCs w:val="20"/>
                <w:highlight w:val="none"/>
                <w:lang w:eastAsia="zh-CN"/>
                <w14:textFill>
                  <w14:solidFill>
                    <w14:schemeClr w14:val="tx1"/>
                  </w14:solidFill>
                </w14:textFill>
              </w:rPr>
              <w:t xml:space="preserve">。</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▲15、支持策略生命周期管理功能，支持对安全策略修改的时间、原因、变更类型进行统一管理，便于策略的运维与管理。</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16、支持对接校方现有网络中的主要安全设备，支持实时接收安全设备检测到的安全事件信息、安全日志数据，提供7*24小时的安全守护，不论是白天、黑夜、节假日都应该能做到7*24H在线服务，并且在节假日期间应当每日为招标方提供节假日值守快报。</w:t>
            </w:r>
            <w:r>
              <w:rPr>
                <w:rFonts w:hint="eastAsia" w:ascii="宋体" w:hAnsi="宋体" w:cs="宋体"/>
                <w:b/>
                <w:bCs/>
                <w:color w:val="000000" w:themeColor="text1"/>
                <w:sz w:val="20"/>
                <w:szCs w:val="20"/>
                <w:highlight w:val="none"/>
                <w14:textFill>
                  <w14:solidFill>
                    <w14:schemeClr w14:val="tx1"/>
                  </w14:solidFill>
                </w14:textFill>
              </w:rPr>
              <w:t xml:space="preserve">（提供承诺函并加盖投标人公章）</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2</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校园网核心交换机</w:t>
            </w:r>
            <w:r/>
          </w:p>
        </w:tc>
        <w:tc>
          <w:tcPr>
            <w:shd w:val="clear" w:color="auto" w:fill="auto"/>
            <w:tcW w:w="4113" w:type="pct"/>
            <w:vAlign w:val="center"/>
            <w:textDirection w:val="lrTb"/>
            <w:noWrap/>
          </w:tcPr>
          <w:p>
            <w:pPr>
              <w:jc w:val="left"/>
              <w:widowControl/>
              <w:rPr>
                <w:rFonts w:ascii="宋体" w:hAnsi="宋体" w:cs="宋体"/>
                <w:b/>
                <w:color w:val="000000" w:themeColor="text1"/>
                <w:sz w:val="20"/>
                <w:szCs w:val="20"/>
                <w:highlight w:val="none"/>
                <w14:textFill>
                  <w14:solidFill>
                    <w14:schemeClr w14:val="tx1"/>
                  </w14:solidFill>
                </w14:textFill>
              </w:rPr>
            </w:pPr>
            <w:r>
              <w:rPr>
                <w:rFonts w:hint="eastAsia" w:ascii="仿宋" w:hAnsi="仿宋" w:eastAsia="仿宋" w:cs="宋体"/>
                <w:color w:val="000000" w:themeColor="text1"/>
                <w:sz w:val="20"/>
                <w:szCs w:val="20"/>
                <w:highlight w:val="none"/>
                <w14:textFill>
                  <w14:solidFill>
                    <w14:schemeClr w14:val="tx1"/>
                  </w14:solidFill>
                </w14:textFill>
              </w:rPr>
              <w:t xml:space="preserve">★</w:t>
            </w:r>
            <w:r>
              <w:rPr>
                <w:rFonts w:hint="eastAsia" w:ascii="宋体" w:hAnsi="宋体" w:cs="宋体"/>
                <w:color w:val="000000" w:themeColor="text1"/>
                <w:sz w:val="20"/>
                <w:szCs w:val="20"/>
                <w:highlight w:val="none"/>
                <w14:textFill>
                  <w14:solidFill>
                    <w14:schemeClr w14:val="tx1"/>
                  </w14:solidFill>
                </w14:textFill>
              </w:rPr>
              <w:t xml:space="preserve">1、正交CLOS无中板交换架构，业务板卡与交换网板完全正交；支持主控引擎插槽≥2个，交换网板插槽≥4个,业务板插槽≥6个；交换容量≥1000 Tbps，包转发率≥345,600Mpps，以官网最小值为准；</w:t>
            </w:r>
            <w:r>
              <w:rPr>
                <w:rFonts w:hint="eastAsia" w:ascii="宋体" w:hAnsi="宋体" w:cs="宋体"/>
                <w:b/>
                <w:color w:val="000000" w:themeColor="text1"/>
                <w:sz w:val="20"/>
                <w:szCs w:val="20"/>
                <w:highlight w:val="none"/>
                <w14:textFill>
                  <w14:solidFill>
                    <w14:schemeClr w14:val="tx1"/>
                  </w14:solidFill>
                </w14:textFill>
              </w:rPr>
              <w:t xml:space="preserve">(提供官网介绍截图或官方彩页</w:t>
            </w:r>
            <w:r>
              <w:rPr>
                <w:rFonts w:ascii="宋体" w:hAnsi="宋体" w:cs="宋体"/>
                <w:b/>
                <w:color w:val="000000" w:themeColor="text1"/>
                <w:sz w:val="20"/>
                <w:szCs w:val="20"/>
                <w:highlight w:val="none"/>
                <w14:textFill>
                  <w14:solidFill>
                    <w14:schemeClr w14:val="tx1"/>
                  </w14:solidFill>
                </w14:textFill>
              </w:rPr>
              <w:t xml:space="preserve">)</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2、支持IPv4/IPv6静态路由、RIP、OSPF、IS-IS、BGP、等价路由、策略路由；</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▲3、支持防火墙业务插卡，把流量引入防火墙进行过滤，支持对病毒的网络层传播行为进行溯源及阻断，防止内网病毒扩散。</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▲4、支持系统通过对代码的数字签名来标识软件来源，通过两层签名机制防止软件被篡改，提高系统软件的安全可信</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5、支持聚合DLB，可根据端口负载状态进行流量的负载均衡。</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6、支持多虚一技术(N:1)，可将4台物理设备虚拟化为1台逻辑设备，支持一虚多技术（1:N），支持设备先“多虚一”再“一虚多”的功能联动，彻底实现资源池化；</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▲7、支持Telemetry、支持INT可视化功能； </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▲8、支持识别IPC等终端设备类型，并支持开启终端安全功能，只允许特定类型的设备接入网络。</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9、支持设备上电到流量转发仅需百秒（百秒通流）；</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10、支持命令行预配置和配置回滚功能，通过配置命令行，配置命令行成单条或多条的配置回退点，可灵活执行多次，实现命令行预配置、配置回滚点保存和配置回滚的功能。</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11、支持本地端口镜像和远程端口镜像RSPAN；支持流镜像支持N：M的端口镜像（M大于1）</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12、支持基于第二层、第三层和第四层的ACL；</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▲13、TAP支持基于端口的 M:N 模型功能，支持基于普通IPv4、IPV6报文五元组流分类功能。</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14、支持VXLAN网关功能，能够实现VXLAN二三层互通；</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15、支持电源黑匣子功能，从而实现输入过/欠压、输出过/欠压，输出过流，过温，风扇fault等原因导致电源损坏信息被记录，便于分析。</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仿宋" w:hAnsi="仿宋" w:eastAsia="仿宋" w:cs="宋体"/>
                <w:color w:val="000000" w:themeColor="text1"/>
                <w:sz w:val="20"/>
                <w:szCs w:val="20"/>
                <w:highlight w:val="none"/>
                <w14:textFill>
                  <w14:solidFill>
                    <w14:schemeClr w14:val="tx1"/>
                  </w14:solidFill>
                </w14:textFill>
              </w:rPr>
              <w:t xml:space="preserve">★</w:t>
            </w:r>
            <w:r>
              <w:rPr>
                <w:rFonts w:hint="eastAsia" w:ascii="宋体" w:hAnsi="宋体" w:cs="宋体"/>
                <w:color w:val="000000" w:themeColor="text1"/>
                <w:sz w:val="20"/>
                <w:szCs w:val="20"/>
                <w:highlight w:val="none"/>
                <w14:textFill>
                  <w14:solidFill>
                    <w14:schemeClr w14:val="tx1"/>
                  </w14:solidFill>
                </w14:textFill>
              </w:rPr>
              <w:t xml:space="preserve">16、单台配置双主控、双电源，双交换网板，40G虚拟化线缆≥1根，整机提供≥48端口万兆以太网光接口，提供≥48端口千兆以太网电接口，提供≥16端口40G以太网光接口。</w:t>
            </w:r>
            <w:r>
              <w:rPr>
                <w:rFonts w:hint="eastAsia" w:ascii="宋体" w:hAnsi="宋体" w:cs="宋体"/>
                <w:b/>
                <w:color w:val="000000" w:themeColor="text1"/>
                <w:sz w:val="20"/>
                <w:szCs w:val="20"/>
                <w:highlight w:val="none"/>
                <w14:textFill>
                  <w14:solidFill>
                    <w14:schemeClr w14:val="tx1"/>
                  </w14:solidFill>
                </w14:textFill>
              </w:rPr>
              <w:t xml:space="preserve">(提供官网介绍截图或官方彩页</w:t>
            </w:r>
            <w:r>
              <w:rPr>
                <w:rFonts w:ascii="宋体" w:hAnsi="宋体" w:cs="宋体"/>
                <w:b/>
                <w:color w:val="000000" w:themeColor="text1"/>
                <w:sz w:val="20"/>
                <w:szCs w:val="20"/>
                <w:highlight w:val="none"/>
                <w14:textFill>
                  <w14:solidFill>
                    <w14:schemeClr w14:val="tx1"/>
                  </w14:solidFill>
                </w14:textFill>
              </w:rPr>
              <w:t xml:space="preserve">)</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3</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WiFi7无线网卡</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支持新一代Wi-Fi 7技术</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2.4GHz传输速率达688Mbps，5GHz传输速率达2882Mbps</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内置无线驱动，安装无需光盘，无光驱电脑也能轻松使用</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采用USB 3.0接口</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内置双天线</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支持Windows10(32位)、Windows10(64位)、Windows11(64位)操作系统</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在Windows10、11系统下支持移动热点功能</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支持4K-QAM高阶调制、MRU和Preamble puncture技术</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支持MU-MIMO、OFDMA技术</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支持TWT技术</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4</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40G光模块</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QSFP+ 40G光模块(1310nm,10km,LR4,LC)</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5</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10G光模块</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光模块-SFP+-10G-单模模块(1310nm,10km,LC)</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6</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网管系统</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1、采用基于容器化微服务架构，以适应企业业务发展和弹性扩展的要求，监控、流程、CMDB必须支持统一集群部署。</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2、运维平台应具有密码控制策略、登录控制、访问限制、认证控制、以及对特权用户的免密认证等安全管控能力.</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提供功能权限和数据权限两种能力，功能权限可以控制到菜单、页面及按键粒度，数据权限可以控制到记录级。提供产品功能截图。支持角色和资源分组自定义，通过将角色和资源分组与用户关联，以实现不同人员可管理不同资源对象，还可以实现不同人员对同类资源对象拥有不同的操作权限（增、删、改、查等）</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▲4、支持多厂商设备纳管，应默认出厂支持200+设备厂商、2000+设备系列、10000+设备型号</w:t>
            </w:r>
            <w:r>
              <w:rPr>
                <w:rFonts w:hint="eastAsia" w:ascii="宋体" w:hAnsi="宋体" w:cs="宋体"/>
                <w:b/>
                <w:bCs/>
                <w:color w:val="000000" w:themeColor="text1"/>
                <w:sz w:val="20"/>
                <w:szCs w:val="20"/>
                <w:highlight w:val="none"/>
                <w14:textFill>
                  <w14:solidFill>
                    <w14:schemeClr w14:val="tx1"/>
                  </w14:solidFill>
                </w14:textFill>
              </w:rPr>
              <w:t xml:space="preserve">。</w:t>
            </w:r>
            <w:r>
              <w:rPr>
                <w:rFonts w:hint="eastAsia" w:ascii="宋体" w:hAnsi="宋体" w:cs="宋体"/>
                <w:color w:val="000000" w:themeColor="text1"/>
                <w:sz w:val="20"/>
                <w:szCs w:val="20"/>
                <w:highlight w:val="none"/>
                <w14:textFill>
                  <w14:solidFill>
                    <w14:schemeClr w14:val="tx1"/>
                  </w14:solidFill>
                </w14:textFill>
              </w:rPr>
              <w:t xml:space="preserve">提供对H3C、华为、思科、锐捷、中兴、F5主流厂商免费适配。</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▲5、支持通过SSH/Telnet/Traceroute探测设备，Ping探测时可配置次数或持续时长，可配置包大小、重试、超时等，设备可秒级轮询连通性。</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▲6、支持指定网管与设备通信的IP地址和VPN实例，应对多网隔离、NAT网络场景。</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▲7、支持配置4种接口监控模式，监控全部接口、只监控UP状态接口、只监控物理接口、只监控UP的物理接口。</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8、支持无线一体化管理，可统一管理AC、AP、无线终端等设备，支持第三方无线设备管理，包括H3C、Cisco、Aruba、华为、锐捷等设备</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9、支持无线业务集中化的配置管理，支持AP模板、AP分组、PONAP分组、虚拟AP、Radio、服务策略等配置</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10、支持EPON、GPON、以太光网络统一管理。支持OLT设备基础管理能力，包括OLT单板配置管理，OLT接口管理，ONU认证及自动绑定策略；支持ONU重启、ONU故障替换、ONU批量升级功能；支持EPON设备ONU/UNI接口批量配置能力，支持GPON设备ONU/UNI口的信息展示；支持对以太光设备管理能力，包括接口配置管理，支持合分波器、分光盒两种无源设备管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11、支持内置多个厂商9000+条trap告警定义，300+条syslog解析规则。</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12、支持通过部署线路模板、业务模板、配置模板、DBA模板以及模板绑定策略，实现GPON  ONU的即插即用；</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13、支持在以太光设备上通过定义接口配置，端口隔离策略、模板绑定策略，实现接入设备的即插即用。</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★14、实际配置本次项目所需的网络设备管理授权≥40；无线AP设备管理授权≥950；ONU设备管理授权≥900；</w:t>
            </w:r>
            <w:r>
              <w:rPr>
                <w:rFonts w:hint="eastAsia" w:ascii="宋体" w:hAnsi="宋体" w:cs="宋体"/>
                <w:b/>
                <w:bCs/>
                <w:color w:val="000000" w:themeColor="text1"/>
                <w:sz w:val="20"/>
                <w:szCs w:val="20"/>
                <w:highlight w:val="none"/>
                <w14:textFill>
                  <w14:solidFill>
                    <w14:schemeClr w14:val="tx1"/>
                  </w14:solidFill>
                </w14:textFill>
              </w:rPr>
              <w:t xml:space="preserve">（提供承诺函并加盖公章）</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★15、支持纳管采购人提供的所有OLT、ONU、分光器、AP、AC等光网设备。</w:t>
            </w:r>
            <w:r>
              <w:rPr>
                <w:rFonts w:hint="eastAsia" w:ascii="宋体" w:hAnsi="宋体" w:cs="宋体"/>
                <w:b/>
                <w:bCs/>
                <w:color w:val="000000" w:themeColor="text1"/>
                <w:sz w:val="20"/>
                <w:szCs w:val="20"/>
                <w:highlight w:val="none"/>
                <w14:textFill>
                  <w14:solidFill>
                    <w14:schemeClr w14:val="tx1"/>
                  </w14:solidFill>
                </w14:textFill>
              </w:rPr>
              <w:t xml:space="preserve">（提供承诺函并加盖公章）</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7</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弱电箱</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1、尺寸（500*400*100）</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2、材质：冷轧钢板（喷塑）</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3、包含锁芯、插座、光纤熔纤盘。</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8</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42U机柜</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1、立柱：1.8mm，横梁：1.2mm. 其他：1.0mm，公差±0.1mm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2、机柜材质：SPCC优质冷轧钢板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3、表面处理工艺：脱脂、酸洗、磷化、静电喷塑（黑色）</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4、配件：含托盘、风扇，2个6位电源接线板，机柜螺丝</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5、尺寸：W600×D600×H2000</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9</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144芯光纤配线架</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1、19英寸标准机架式安装</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2、最大支持144芯SC单芯适配器</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3、满配SC单芯适配器及SC尾纤</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4、内含12个12位一体化盘</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5、加厚镀锌钝化处理冷轧钢板+白色喷塑</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6、冷轧板厚度：1.0mm</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10</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48芯分纤箱</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1、48芯直熔分纤箱</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2、壁挂</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3、冷轧钢板材质</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4、开门角度可大于 180°</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11</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光纤跳纤</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1、单模SC接口</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2、长度10M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3、连接器插针类型：陶瓷氧化锆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4、插头材质：高耐冲击性防火阻燃型PC</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5、连接器插入损耗：≤0.26dB/每接口</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6、最大插入损耗：≤0.35dB/每接口</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7、重复性：≤0.1dB</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8、互换性：≤0.2dB</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9、回波损耗 PC≥45，UPC ≥ 50dB</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10、拔插次数：≥1000次</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11、护套材质：PVC /LSZH</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12</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光纤跳纤</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1、单模SC接口</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2、长度2M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3、连接器插针类型：陶瓷氧化锆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4、插头材质：高耐冲击性防火阻燃型PC</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5、连接器插入损耗：≤0.26dB/每接口</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6、最大插入损耗：≤0.35dB/每接口</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7、重复性：≤0.1dB</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8、互换性：≤0.2dB</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9、回波损耗 PC≥45，UPC ≥ 50dB</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10、拔插次数：≥1000次</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11、护套材质：PVC /LSZH</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13</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光纤尾纤</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1、单模SC接口</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2、长度1M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3、连接器插针类型：陶瓷氧化锆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4、插头材质：高耐冲击性防火阻燃型PC</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5、连接器插入损耗：≤0.26dB/每接口</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6、最大插入损耗：≤0.35dB/每接口</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7、重复性：≤0.1dB</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8、互换性：≤0.2dB</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9、回波损耗 PC≥45，UPC ≥ 50dB</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10、拔插次数：≥1000次</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11、护套材质：PVC /LSZH</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14</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光纤熔接</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热熔</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15</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2芯光纤</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1、单模2芯</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2、皮线护套外径：2.0*3.0±0.15mm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3、加强件材质：钢丝0.45±0.05mm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4、衰减：@1310≦0.40dB/km；@1550nm≦0.30dB/km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5、抗拉强度：10MPa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6、断裂伸长率：125%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7、敷设最小弯曲半径：动态弯曲半径≥30倍光缆外径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8、静态弯曲半径≥15倍光缆外径</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16</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12芯光缆</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1、单模12芯</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2、外护套材料：聚乙烯（PE）</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3、结构：采用SZ层绞式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4、光缆加强件：中心单根高强度磷化钢丝</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5、铠装层：双面镀铬涂塑钢带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6、衰减系数：@1310nm≤0.36dB/km；@1550nm≤0.22dB/km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7、动态弯曲半径≥20倍光缆外径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8、静态弯曲半径≥10倍光缆外径</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17</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48芯光缆</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1、单模48芯</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2、外护套材料：聚乙烯（PE）</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3、结构：采用SZ层绞式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4、光缆加强件：中心单根高强度磷化钢丝</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5、铠装层：双面镀铬涂塑钢带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6、衰减系数：@1310nm≤0.36dB/km；@1550nm≤0.22dB/km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7、动态弯曲半径≥20倍光缆外径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8、静态弯曲半径≥10倍光缆外径</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18</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6类UTP四对双绞线</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1、护套材质：PVC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2、导体材质：无氧圆铜</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3、导体直径：23AWG</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4、导体绝缘外径：1.01±0.05mm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5、带撕裂绳</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6、含有十字骨架</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7、芯数：4对8芯</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19</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电源线</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RVV3*10</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20</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电源线</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RVV3*2.5</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21</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电源线</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RVV3*6</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22</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电源线</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RVV5*6</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23</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20PVC管</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管径:20mm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材质：PVC</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24</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25PVC管</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管径:25mm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材质：PVC</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25</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PVC线槽</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尺寸:30mm*15mm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材质：PVC</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26</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PVC过线盒</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PVC过线盒</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27</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12芯光纤配线架</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1、19英寸标准机架式安装</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2、最大支持12芯SC单芯适配器</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3、满配SC单芯适配器及SC尾纤</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4、表明磨砂亚光磨面处理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5、喷塑后冷轧钢板厚度：1.2±0.2m</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28</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24芯光缆</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1、单模24芯</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2、外护套材料：聚乙烯（PE）</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3、结构：采用SZ层绞式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4、光缆加强件：中心单根高强度磷化钢丝</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5、铠装层：双面镀铬涂塑钢带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6、衰减系数：@1310nm≤0.36dB/km；@1550nm≤0.22dB/km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7、动态弯曲半径≥20倍光缆外径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8、静态弯曲半径≥10倍光缆外径</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29</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24芯光纤配线架</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1、19英寸标准机架式安装</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2、最大支持24芯SC单芯适配器</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3、满配SC单芯适配器及SC尾纤</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4、表明磨砂亚光磨面处理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5、喷塑后冷轧钢板厚度：1.2±0.2m</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30</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72芯分纤箱</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1、72芯直熔分纤箱</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2、壁挂</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3、冷轧钢板材质</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4、开门角度可大于 180°</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31</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72芯光缆</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1、单模72芯</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2、外护套材料：聚乙烯（PE）</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3、结构：采用SZ层绞式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4、光缆加强件：中心单根高强度磷化钢丝</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5、铠装层：双面镀铬涂塑钢带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6、衰减系数：@1310nm≤0.36dB/km；@1550nm≤0.22dB/km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7、动态弯曲半径≥20倍光缆外径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8、静态弯曲半径≥10倍光缆外径</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32</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22U机柜</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1、立柱：1.8mm，横梁：1.2mm. 其他：1.0mm，公差±0.1mm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2、机柜材质：SPCC优质冷轧钢板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3、表面处理工艺：脱脂、酸洗、磷化、静电喷塑（黑色）</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4、配件：含托盘、风扇，1个6位电源接线板，机柜螺丝  尺寸：W600×D600×H1200</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33</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室外光交箱</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1、144芯</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2、满配耦合器及SC尾纤</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34</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4芯熔纤盒</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1、4芯</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2、满配耦合器及SC尾纤</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35</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4芯光缆</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1、单模4芯</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2、外护套材料：聚乙烯（PE）</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3、结构：采用SZ层绞式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4、光缆加强件：中心单根高强度磷化钢丝</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5、铠装层：双面镀铬涂塑钢带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6、衰减系数：@1310nm≤0.36dB/km；@1550nm≤0.22dB/km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7、动态弯曲半径≥20倍光缆外径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8、静态弯曲半径≥10倍光缆外径</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36</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20PE管</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管径:20mm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材质：PE</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37</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LC光纤跳纤</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1、单模LC接口</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2、长度10M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3、连接器插针类型：陶瓷氧化锆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4、插头材质：高耐冲击性防火阻燃型PC</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5、连接器插入损耗：≤0.26dB/每接口</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6、最大插入损耗：≤0.35dB/每接口</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7、重复性：≤0.1dB</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8、互换性：≤0.2dB</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9、回波损耗 PC≥45，UPC ≥ 50dB</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10、拔插次数：≥1000次</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11、护套材质：PVC /LSZH</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38</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LC光纤跳纤</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1、单模LC接口</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2、长度2M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3、连接器插针类型：陶瓷氧化锆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4、插头材质：高耐冲击性防火阻燃型PC</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5、连接器插入损耗：≤0.26dB/每接口</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6、最大插入损耗：≤0.35dB/每接口</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7、重复性：≤0.1dB</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8、互换性：≤0.2dB</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9、回波损耗 PC≥45，UPC ≥ 50dB</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10、拔插次数：≥1000次</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11、护套材质：PVC /LSZH</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39</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48芯光纤配线架</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1、19英寸标准机架式安装</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2、最大支持48芯SC单芯适配器</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3、满配SC单芯适配器及SC尾纤</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4、表明磨砂亚光磨面处理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5、喷塑后冷轧钢板厚度：1.2±0.2m</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40</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PDU</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8位</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41</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理线器</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理线器</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42</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配电箱</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1、尺寸400*300*200</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2、进线：32A3P空开*1</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3、出线：16A1P空开*10</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4、包含接地排、零线排</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43</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配电箱</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1、尺寸400*300*200</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2、进线：63A2P空开*1</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3、出线：16A1P空开*10</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4、包含接地排、零线排</w:t>
            </w:r>
            <w:r/>
          </w:p>
        </w:tc>
      </w:tr>
      <w:tr>
        <w:trPr/>
        <w:tc>
          <w:tcPr>
            <w:shd w:val="clear" w:color="auto" w:fill="auto"/>
            <w:tcW w:w="296" w:type="pct"/>
            <w:vAlign w:val="center"/>
            <w:textDirection w:val="lrTb"/>
            <w:noWrap/>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44</w:t>
            </w:r>
            <w:r/>
          </w:p>
        </w:tc>
        <w:tc>
          <w:tcPr>
            <w:tcW w:w="591"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集成服务</w:t>
            </w:r>
            <w:r/>
          </w:p>
        </w:tc>
        <w:tc>
          <w:tcPr>
            <w:shd w:val="clear" w:color="auto" w:fill="auto"/>
            <w:tcW w:w="4113" w:type="pct"/>
            <w:vAlign w:val="center"/>
            <w:textDirection w:val="lrTb"/>
            <w:noWrap/>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供应商应按照建设方案要求完成整体光网的施工（包括但不限于综合布线、设备安装、调试）</w:t>
            </w:r>
            <w:r/>
          </w:p>
        </w:tc>
      </w:tr>
    </w:tbl>
    <w:p>
      <w:pPr>
        <w:ind w:firstLine="482"/>
        <w:jc w:val="left"/>
        <w:spacing w:line="520" w:lineRule="exact"/>
        <w:rPr>
          <w:rFonts w:ascii="宋体" w:hAnsi="宋体" w:cs="宋体"/>
          <w:b/>
          <w:bCs/>
          <w:color w:val="000000" w:themeColor="text1"/>
          <w:sz w:val="24"/>
          <w:szCs w:val="21"/>
          <w:highlight w:val="none"/>
          <w14:textFill>
            <w14:solidFill>
              <w14:schemeClr w14:val="tx1"/>
            </w14:solidFill>
          </w14:textFill>
        </w:rPr>
      </w:pPr>
      <w:r>
        <w:rPr>
          <w:rFonts w:hint="eastAsia" w:ascii="宋体" w:hAnsi="宋体" w:cs="宋体"/>
          <w:b/>
          <w:bCs/>
          <w:color w:val="000000" w:themeColor="text1"/>
          <w:sz w:val="24"/>
          <w:szCs w:val="21"/>
          <w:highlight w:val="none"/>
          <w14:textFill>
            <w14:solidFill>
              <w14:schemeClr w14:val="tx1"/>
            </w14:solidFill>
          </w14:textFill>
        </w:rPr>
        <w:t xml:space="preserve">三、报价说明</w:t>
      </w:r>
      <w:r/>
    </w:p>
    <w:p>
      <w:pPr>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报价应是招标文件所确定的招标范围内的全部工作内容的价格体现。其应包括但不限于人工费、施工机械使用费、材料费、其他（运杂费、质检费、安装费、缺陷修复费、保险费，夜间施工办证费、排污费、道路占用费、噪音费、安全施工费、交通安全防护费、与其他施工队伍共同作业时所发生的施工配合费以及合同明示或暗示的风险、责任和义务等），以及管理费、利润等各项所有费用。</w:t>
      </w:r>
      <w:r/>
    </w:p>
    <w:p>
      <w:pPr>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本工程设备和材料由供应商自购部分，其规格、技术指标、质量等级须满足招标文件要求，同时必须满足国家相应技术规范或技术标准的要求。投标时需明确材料品牌、规格、厂家等，如未明确或进场材料与投标响应不符，采购人可另行采购，中标供应商承担相应的材料差价及采购费用。</w:t>
      </w:r>
      <w:r/>
    </w:p>
    <w:p>
      <w:pPr>
        <w:ind w:firstLine="482"/>
        <w:spacing w:line="520" w:lineRule="exact"/>
        <w:rPr>
          <w:rFonts w:ascii="宋体" w:hAnsi="宋体" w:cs="宋体"/>
          <w:b/>
          <w:bCs/>
          <w:i/>
          <w:iCs/>
          <w:color w:val="000000" w:themeColor="text1"/>
          <w:sz w:val="24"/>
          <w:highlight w:val="none"/>
          <w:u w:val="single"/>
          <w14:textFill>
            <w14:solidFill>
              <w14:schemeClr w14:val="tx1"/>
            </w14:solidFill>
          </w14:textFill>
        </w:rPr>
      </w:pPr>
      <w:r>
        <w:rPr>
          <w:rFonts w:hint="eastAsia" w:ascii="宋体" w:hAnsi="宋体" w:cs="宋体"/>
          <w:b/>
          <w:bCs/>
          <w:i/>
          <w:iCs/>
          <w:color w:val="000000" w:themeColor="text1"/>
          <w:sz w:val="24"/>
          <w:highlight w:val="none"/>
          <w:u w:val="single"/>
          <w14:textFill>
            <w14:solidFill>
              <w14:schemeClr w14:val="tx1"/>
            </w14:solidFill>
          </w14:textFill>
        </w:rPr>
        <w:t xml:space="preserve">★3、供应商必须按最新工程量清单计价规范要求进行报价，否则按无效处理。</w:t>
      </w:r>
      <w:r/>
    </w:p>
    <w:p>
      <w:pPr>
        <w:ind w:firstLine="482"/>
        <w:jc w:val="left"/>
        <w:spacing w:line="520" w:lineRule="exact"/>
        <w:rPr>
          <w:rFonts w:ascii="宋体" w:hAnsi="宋体" w:cs="宋体"/>
          <w:b/>
          <w:bCs/>
          <w:color w:val="000000" w:themeColor="text1"/>
          <w:sz w:val="24"/>
          <w:szCs w:val="21"/>
          <w:highlight w:val="none"/>
          <w14:textFill>
            <w14:solidFill>
              <w14:schemeClr w14:val="tx1"/>
            </w14:solidFill>
          </w14:textFill>
        </w:rPr>
      </w:pPr>
      <w:r>
        <w:rPr>
          <w:rFonts w:hint="eastAsia" w:ascii="宋体" w:hAnsi="宋体" w:cs="宋体"/>
          <w:b/>
          <w:bCs/>
          <w:color w:val="000000" w:themeColor="text1"/>
          <w:sz w:val="24"/>
          <w:szCs w:val="21"/>
          <w:highlight w:val="none"/>
          <w14:textFill>
            <w14:solidFill>
              <w14:schemeClr w14:val="tx1"/>
            </w14:solidFill>
          </w14:textFill>
        </w:rPr>
        <w:t xml:space="preserve">四、服务要求</w:t>
      </w:r>
      <w:r/>
    </w:p>
    <w:p>
      <w:pPr>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1、本项目服务期不少于5年，</w:t>
      </w:r>
      <w:r>
        <w:rPr>
          <w:rFonts w:hint="eastAsia" w:ascii="宋体" w:hAnsi="宋体" w:cs="宋体"/>
          <w:color w:val="000000" w:themeColor="text1"/>
          <w:sz w:val="24"/>
          <w:highlight w:val="none"/>
          <w:lang w:val="en-US" w:eastAsia="zh-CN"/>
          <w14:textFill>
            <w14:solidFill>
              <w14:schemeClr w14:val="tx1"/>
            </w14:solidFill>
          </w14:textFill>
        </w:rPr>
        <w:t xml:space="preserve">其中包含</w:t>
      </w:r>
      <w:r>
        <w:rPr>
          <w:rFonts w:hint="eastAsia" w:ascii="宋体" w:hAnsi="宋体" w:cs="宋体"/>
          <w:color w:val="000000" w:themeColor="text1"/>
          <w:sz w:val="24"/>
          <w:highlight w:val="none"/>
          <w14:textFill>
            <w14:solidFill>
              <w14:schemeClr w14:val="tx1"/>
            </w14:solidFill>
          </w14:textFill>
        </w:rPr>
        <w:t xml:space="preserve">采购人提供的设备</w:t>
      </w:r>
      <w:r>
        <w:rPr>
          <w:rFonts w:hint="eastAsia" w:ascii="宋体" w:hAnsi="宋体" w:cs="宋体"/>
          <w:color w:val="000000" w:themeColor="text1"/>
          <w:sz w:val="24"/>
          <w:highlight w:val="none"/>
          <w:lang w:val="en-US" w:eastAsia="zh-CN"/>
          <w14:textFill>
            <w14:solidFill>
              <w14:schemeClr w14:val="tx1"/>
            </w14:solidFill>
          </w14:textFill>
        </w:rPr>
        <w:t xml:space="preserve">的日常维护</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2、项目质保期内，中标人应提供硬件和应用软件系统扩充、升级方面的技术支持服务。</w:t>
      </w:r>
      <w:r/>
    </w:p>
    <w:p>
      <w:pPr>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3、项目验收合格后半年内，中标人应派遣1名工程师提供每周不少于2天的驻场服务，项目验收合格满半年后，中标人应提供每年不少于4次定期巡检，及时发现系统隐患，保障系统稳定运行，提供巡检报告。</w:t>
      </w:r>
      <w:r/>
    </w:p>
    <w:p>
      <w:pPr>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项目质保期内，中标人应提供7×24小时全天候售后电话服务，对使用方提出的应用过程中出现的问题，如设备发生软、硬件故障，售后人员必须在接到报修通知后2小时内提供在线技术支持。接到故障通知4个小时之内，维修技术人员应到达现场，简单故障2小时排除，一般故障在4小时内到排除并修复，严重故障8小时内修复，超过8小时的，需要更换备品备件的，应在48小时内修复。</w:t>
      </w:r>
      <w:r/>
    </w:p>
    <w:p>
      <w:pPr>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5、系统试运行期间，中标方负责为校方免费培训1-2名系统维护人员，通过培训，使维护人员能熟练规范地进行操作，对一般故障能进行处理和日常维护。</w:t>
      </w:r>
      <w:r/>
    </w:p>
    <w:p>
      <w:pPr>
        <w:pStyle w:val="927"/>
        <w:ind w:firstLine="482"/>
        <w:spacing w:line="360" w:lineRule="auto"/>
        <w:rPr>
          <w:rFonts w:cs="宋体"/>
          <w:b/>
          <w:bCs/>
          <w:color w:val="000000" w:themeColor="text1"/>
          <w:sz w:val="24"/>
          <w:highlight w:val="none"/>
          <w14:textFill>
            <w14:solidFill>
              <w14:schemeClr w14:val="tx1"/>
            </w14:solidFill>
          </w14:textFill>
        </w:rPr>
      </w:pPr>
      <w:r>
        <w:rPr>
          <w:rFonts w:hint="eastAsia" w:cs="宋体"/>
          <w:b/>
          <w:bCs/>
          <w:color w:val="000000" w:themeColor="text1"/>
          <w:sz w:val="24"/>
          <w:highlight w:val="none"/>
          <w14:textFill>
            <w14:solidFill>
              <w14:schemeClr w14:val="tx1"/>
            </w14:solidFill>
          </w14:textFill>
        </w:rPr>
        <w:t xml:space="preserve">五、付款周期</w:t>
      </w:r>
      <w:r/>
    </w:p>
    <w:p>
      <w:pPr>
        <w:pStyle w:val="927"/>
        <w:ind w:firstLine="482"/>
        <w:spacing w:line="360" w:lineRule="auto"/>
        <w:rPr>
          <w:rFonts w:cs="宋体"/>
          <w:b/>
          <w:bCs/>
          <w:color w:val="000000" w:themeColor="text1"/>
          <w:sz w:val="24"/>
          <w:highlight w:val="none"/>
          <w14:textFill>
            <w14:solidFill>
              <w14:schemeClr w14:val="tx1"/>
            </w14:solidFill>
          </w14:textFill>
        </w:rPr>
      </w:pPr>
      <w:r>
        <w:rPr>
          <w:rFonts w:hint="eastAsia" w:cs="宋体"/>
          <w:b/>
          <w:bCs/>
          <w:color w:val="000000" w:themeColor="text1"/>
          <w:sz w:val="24"/>
          <w:highlight w:val="none"/>
          <w14:textFill>
            <w14:solidFill>
              <w14:schemeClr w14:val="tx1"/>
            </w14:solidFill>
          </w14:textFill>
        </w:rPr>
        <w:t xml:space="preserve">（一）双方约定本工程按照以下工程款(进度款)支付的方式和时间执行：</w:t>
      </w:r>
      <w:r/>
    </w:p>
    <w:p>
      <w:pPr>
        <w:pStyle w:val="927"/>
        <w:ind w:firstLine="482"/>
        <w:spacing w:line="360" w:lineRule="auto"/>
        <w:rPr>
          <w:rFonts w:cs="宋体"/>
          <w:b/>
          <w:bCs/>
          <w:color w:val="000000" w:themeColor="text1"/>
          <w:sz w:val="24"/>
          <w:highlight w:val="none"/>
          <w14:textFill>
            <w14:solidFill>
              <w14:schemeClr w14:val="tx1"/>
            </w14:solidFill>
          </w14:textFill>
        </w:rPr>
      </w:pPr>
      <w:r>
        <w:rPr>
          <w:rFonts w:hint="eastAsia" w:cs="宋体"/>
          <w:b/>
          <w:bCs/>
          <w:color w:val="000000" w:themeColor="text1"/>
          <w:sz w:val="24"/>
          <w:highlight w:val="none"/>
          <w14:textFill>
            <w14:solidFill>
              <w14:schemeClr w14:val="tx1"/>
            </w14:solidFill>
          </w14:textFill>
        </w:rPr>
        <w:t xml:space="preserve">（1）项目实施期间，设备到齐并经采购人验收合格后，采购人在收到增值税发票10个工作日内向中标人支付合同签约价的60%。</w:t>
      </w:r>
      <w:r/>
    </w:p>
    <w:p>
      <w:pPr>
        <w:pStyle w:val="927"/>
        <w:ind w:firstLine="482"/>
        <w:spacing w:line="360" w:lineRule="auto"/>
        <w:rPr>
          <w:rFonts w:cs="宋体"/>
          <w:b/>
          <w:bCs/>
          <w:color w:val="000000" w:themeColor="text1"/>
          <w:sz w:val="24"/>
          <w:highlight w:val="none"/>
          <w14:textFill>
            <w14:solidFill>
              <w14:schemeClr w14:val="tx1"/>
            </w14:solidFill>
          </w14:textFill>
        </w:rPr>
      </w:pPr>
      <w:r>
        <w:rPr>
          <w:rFonts w:hint="eastAsia" w:cs="宋体"/>
          <w:b/>
          <w:bCs/>
          <w:color w:val="000000" w:themeColor="text1"/>
          <w:sz w:val="24"/>
          <w:highlight w:val="none"/>
          <w14:textFill>
            <w14:solidFill>
              <w14:schemeClr w14:val="tx1"/>
            </w14:solidFill>
          </w14:textFill>
        </w:rPr>
        <w:t xml:space="preserve">（2）本项目工程竣工验收合格，发包人支付至合同价扣除暂列金的80%。</w:t>
      </w:r>
      <w:r/>
    </w:p>
    <w:p>
      <w:pPr>
        <w:pStyle w:val="927"/>
        <w:ind w:firstLine="482"/>
        <w:spacing w:line="360" w:lineRule="auto"/>
        <w:rPr>
          <w:rFonts w:cs="宋体"/>
          <w:b/>
          <w:bCs/>
          <w:color w:val="000000" w:themeColor="text1"/>
          <w:sz w:val="24"/>
          <w:highlight w:val="none"/>
          <w14:textFill>
            <w14:solidFill>
              <w14:schemeClr w14:val="tx1"/>
            </w14:solidFill>
          </w14:textFill>
        </w:rPr>
      </w:pPr>
      <w:r>
        <w:rPr>
          <w:rFonts w:hint="eastAsia" w:cs="宋体"/>
          <w:b/>
          <w:bCs/>
          <w:color w:val="000000" w:themeColor="text1"/>
          <w:sz w:val="24"/>
          <w:highlight w:val="none"/>
          <w14:textFill>
            <w14:solidFill>
              <w14:schemeClr w14:val="tx1"/>
            </w14:solidFill>
          </w14:textFill>
        </w:rPr>
        <w:t xml:space="preserve">（3）审计结束，承包人先向学院支付审定金额的3%工程质保金（以转账形式支付至学院指定账户），发包人在10个工作日内付清工程尾款。</w:t>
      </w:r>
      <w:r/>
    </w:p>
    <w:p>
      <w:pPr>
        <w:pStyle w:val="927"/>
        <w:ind w:firstLine="482"/>
        <w:spacing w:line="360" w:lineRule="auto"/>
        <w:rPr>
          <w:rFonts w:cs="宋体"/>
          <w:b/>
          <w:bCs/>
          <w:color w:val="000000" w:themeColor="text1"/>
          <w:sz w:val="24"/>
          <w:highlight w:val="none"/>
          <w14:textFill>
            <w14:solidFill>
              <w14:schemeClr w14:val="tx1"/>
            </w14:solidFill>
          </w14:textFill>
        </w:rPr>
      </w:pPr>
      <w:r>
        <w:rPr>
          <w:rFonts w:hint="eastAsia" w:cs="宋体"/>
          <w:b/>
          <w:bCs/>
          <w:color w:val="000000" w:themeColor="text1"/>
          <w:sz w:val="24"/>
          <w:highlight w:val="none"/>
          <w14:textFill>
            <w14:solidFill>
              <w14:schemeClr w14:val="tx1"/>
            </w14:solidFill>
          </w14:textFill>
        </w:rPr>
        <w:t xml:space="preserve">（4）工程质保金的退还按《工程质量保修书》约定的条款执行。</w:t>
      </w:r>
      <w:r/>
    </w:p>
    <w:p>
      <w:pPr>
        <w:pStyle w:val="927"/>
        <w:ind w:firstLine="482"/>
        <w:spacing w:line="360" w:lineRule="auto"/>
        <w:rPr>
          <w:rFonts w:cs="宋体"/>
          <w:b/>
          <w:bCs/>
          <w:color w:val="000000" w:themeColor="text1"/>
          <w:sz w:val="24"/>
          <w:highlight w:val="none"/>
          <w14:textFill>
            <w14:solidFill>
              <w14:schemeClr w14:val="tx1"/>
            </w14:solidFill>
          </w14:textFill>
        </w:rPr>
      </w:pPr>
      <w:r>
        <w:rPr>
          <w:rFonts w:hint="eastAsia" w:cs="宋体"/>
          <w:b/>
          <w:bCs/>
          <w:color w:val="000000" w:themeColor="text1"/>
          <w:sz w:val="24"/>
          <w:highlight w:val="none"/>
          <w14:textFill>
            <w14:solidFill>
              <w14:schemeClr w14:val="tx1"/>
            </w14:solidFill>
          </w14:textFill>
        </w:rPr>
        <w:t xml:space="preserve">（5）每次付款前，承包人必须开具正规足额税务发票。</w:t>
      </w:r>
      <w:r/>
    </w:p>
    <w:p>
      <w:pPr>
        <w:pStyle w:val="927"/>
        <w:ind w:firstLine="482"/>
        <w:spacing w:line="360" w:lineRule="auto"/>
        <w:rPr>
          <w:rFonts w:cs="宋体"/>
          <w:b/>
          <w:bCs/>
          <w:color w:val="000000" w:themeColor="text1"/>
          <w:sz w:val="24"/>
          <w:highlight w:val="none"/>
          <w14:textFill>
            <w14:solidFill>
              <w14:schemeClr w14:val="tx1"/>
            </w14:solidFill>
          </w14:textFill>
        </w:rPr>
      </w:pPr>
      <w:r>
        <w:rPr>
          <w:rFonts w:hint="eastAsia" w:cs="宋体"/>
          <w:b/>
          <w:bCs/>
          <w:color w:val="000000" w:themeColor="text1"/>
          <w:sz w:val="24"/>
          <w:highlight w:val="none"/>
          <w14:textFill>
            <w14:solidFill>
              <w14:schemeClr w14:val="tx1"/>
            </w14:solidFill>
          </w14:textFill>
        </w:rPr>
        <w:t xml:space="preserve">（6）经确认的变更工程价款由审计部门审计后，在工程竣工结算时一并支付。</w:t>
      </w:r>
      <w:r/>
    </w:p>
    <w:p>
      <w:pPr>
        <w:pStyle w:val="927"/>
        <w:ind w:firstLine="482"/>
        <w:spacing w:line="360" w:lineRule="auto"/>
        <w:rPr>
          <w:rFonts w:cs="宋体"/>
          <w:color w:val="000000" w:themeColor="text1"/>
          <w:sz w:val="24"/>
          <w:highlight w:val="none"/>
          <w14:textFill>
            <w14:solidFill>
              <w14:schemeClr w14:val="tx1"/>
            </w14:solidFill>
          </w14:textFill>
        </w:rPr>
      </w:pPr>
      <w:r>
        <w:rPr>
          <w:rFonts w:hint="eastAsia" w:cs="宋体"/>
          <w:b/>
          <w:bCs/>
          <w:color w:val="000000" w:themeColor="text1"/>
          <w:sz w:val="24"/>
          <w:highlight w:val="none"/>
          <w14:textFill>
            <w14:solidFill>
              <w14:schemeClr w14:val="tx1"/>
            </w14:solidFill>
          </w14:textFill>
        </w:rPr>
        <w:t xml:space="preserve">六、其他要求详见招标文件“第三章 合同条款及格式”。</w:t>
      </w:r>
      <w:r/>
    </w:p>
    <w:p>
      <w:pPr>
        <w:pStyle w:val="927"/>
        <w:ind w:firstLine="482"/>
        <w:spacing w:line="360" w:lineRule="auto"/>
        <w:rPr>
          <w:rFonts w:cs="宋体"/>
          <w:b/>
          <w:bCs/>
          <w:color w:val="000000" w:themeColor="text1"/>
          <w:sz w:val="24"/>
          <w:highlight w:val="none"/>
          <w14:textFill>
            <w14:solidFill>
              <w14:schemeClr w14:val="tx1"/>
            </w14:solidFill>
          </w14:textFill>
        </w:rPr>
      </w:pPr>
      <w:r>
        <w:rPr>
          <w:rFonts w:hint="eastAsia" w:cs="宋体"/>
          <w:b/>
          <w:bCs/>
          <w:color w:val="000000" w:themeColor="text1"/>
          <w:sz w:val="24"/>
          <w:highlight w:val="none"/>
          <w14:textFill>
            <w14:solidFill>
              <w14:schemeClr w14:val="tx1"/>
            </w14:solidFill>
          </w14:textFill>
        </w:rPr>
        <w:t xml:space="preserve">七、本项目统一现场勘察：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勘察时间：2026年</w:t>
      </w:r>
      <w:r>
        <w:rPr>
          <w:rFonts w:hint="eastAsia" w:ascii="宋体" w:hAnsi="宋体" w:cs="宋体"/>
          <w:color w:val="000000" w:themeColor="text1"/>
          <w:sz w:val="24"/>
          <w:highlight w:val="none"/>
          <w:lang w:val="en-US" w:eastAsia="zh-CN"/>
          <w14:textFill>
            <w14:solidFill>
              <w14:schemeClr w14:val="tx1"/>
            </w14:solidFill>
          </w14:textFill>
        </w:rPr>
        <w:t xml:space="preserve">0</w:t>
      </w:r>
      <w:r>
        <w:rPr>
          <w:rFonts w:hint="eastAsia" w:ascii="宋体" w:hAnsi="宋体" w:cs="宋体"/>
          <w:color w:val="000000" w:themeColor="text1"/>
          <w:sz w:val="24"/>
          <w:highlight w:val="none"/>
          <w14:textFill>
            <w14:solidFill>
              <w14:schemeClr w14:val="tx1"/>
            </w14:solidFill>
          </w14:textFill>
        </w:rPr>
        <w:t xml:space="preserve">8月</w:t>
      </w:r>
      <w:r>
        <w:rPr>
          <w:rFonts w:hint="eastAsia" w:ascii="宋体" w:hAnsi="宋体" w:cs="宋体"/>
          <w:color w:val="000000" w:themeColor="text1"/>
          <w:sz w:val="24"/>
          <w:highlight w:val="none"/>
          <w:lang w:val="en-US" w:eastAsia="zh-CN"/>
          <w14:textFill>
            <w14:solidFill>
              <w14:schemeClr w14:val="tx1"/>
            </w14:solidFill>
          </w14:textFill>
        </w:rPr>
        <w:t xml:space="preserve">06</w:t>
      </w:r>
      <w:r>
        <w:rPr>
          <w:rFonts w:hint="eastAsia" w:ascii="宋体" w:hAnsi="宋体" w:cs="宋体"/>
          <w:color w:val="000000" w:themeColor="text1"/>
          <w:sz w:val="24"/>
          <w:highlight w:val="none"/>
          <w14:textFill>
            <w14:solidFill>
              <w14:schemeClr w14:val="tx1"/>
            </w14:solidFill>
          </w14:textFill>
        </w:rPr>
        <w:t xml:space="preserve">日，上午09：30</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勘察地址：镇江市丹徒区长香西大道500号江苏省交通技师学院信息中心</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联系人：曾老师</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联系电话：0511-83821005</w:t>
      </w:r>
      <w:r/>
    </w:p>
    <w:p>
      <w:pPr>
        <w:ind w:firstLine="480"/>
        <w:spacing w:line="360" w:lineRule="auto"/>
        <w:rPr>
          <w:rFonts w:ascii="宋体" w:hAnsi="宋体" w:cs="宋体"/>
          <w:b/>
          <w:iCs/>
          <w:color w:val="000000" w:themeColor="text1"/>
          <w:sz w:val="28"/>
          <w:szCs w:val="28"/>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各潜在投标供应商需准时到达指定勘察现场，供应商代表应持本人身份证、携带企业法人营业执照复印件（加盖企业公章）、法人授权委托书。供应商需务必对项目现场和周围环境进行仔细认真地查勘，在随后的采购中，对现场资料和数据所作出的推论、解释和结论及由此造成的后果由供应商负责。</w:t>
      </w:r>
      <w:r/>
    </w:p>
    <w:p>
      <w:pPr>
        <w:pStyle w:val="845"/>
        <w:jc w:val="center"/>
        <w:spacing w:before="286" w:after="286"/>
        <w:rPr>
          <w:rFonts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bookmarkStart w:id="248" w:name="_Toc226127002"/>
      <w:r>
        <w:rPr>
          <w:rFonts w:hint="eastAsia" w:ascii="宋体" w:hAnsi="宋体" w:eastAsia="宋体" w:cs="宋体"/>
          <w:b/>
          <w:color w:val="000000" w:themeColor="text1"/>
          <w:sz w:val="36"/>
          <w:szCs w:val="36"/>
          <w:highlight w:val="none"/>
          <w14:textFill>
            <w14:solidFill>
              <w14:schemeClr w14:val="tx1"/>
            </w14:solidFill>
          </w14:textFill>
        </w:rPr>
        <w:t xml:space="preserve">第四章 评标方法与评标标准</w:t>
      </w:r>
      <w:bookmarkEnd w:id="240"/>
      <w:r/>
      <w:bookmarkEnd w:id="241"/>
      <w:r/>
      <w:bookmarkEnd w:id="242"/>
      <w:r/>
      <w:bookmarkEnd w:id="243"/>
      <w:r/>
      <w:bookmarkEnd w:id="248"/>
      <w:r/>
      <w:r/>
    </w:p>
    <w:p>
      <w:pPr>
        <w:pStyle w:val="846"/>
        <w:ind w:firstLine="482"/>
        <w:jc w:val="both"/>
        <w:spacing w:before="0" w:after="0" w:line="360" w:lineRule="auto"/>
        <w:rPr>
          <w:rFonts w:ascii="宋体" w:hAnsi="宋体" w:eastAsia="宋体" w:cs="宋体"/>
          <w:color w:val="000000" w:themeColor="text1"/>
          <w:sz w:val="24"/>
          <w:szCs w:val="24"/>
          <w:highlight w:val="none"/>
          <w:lang w:eastAsia="zh-CN"/>
          <w14:textFill>
            <w14:solidFill>
              <w14:schemeClr w14:val="tx1"/>
            </w14:solidFill>
          </w14:textFill>
        </w:rPr>
      </w:pPr>
      <w:r/>
      <w:bookmarkStart w:id="249" w:name="_Toc226127003"/>
      <w:r/>
      <w:bookmarkStart w:id="250" w:name="_Toc12887274"/>
      <w:r/>
      <w:bookmarkStart w:id="251" w:name="_Toc9363437"/>
      <w:r/>
      <w:bookmarkStart w:id="252" w:name="_Toc12708983"/>
      <w:r/>
      <w:bookmarkStart w:id="253" w:name="_Toc172203081"/>
      <w:r/>
      <w:bookmarkStart w:id="254" w:name="_Toc210922447"/>
      <w:r/>
      <w:bookmarkStart w:id="255" w:name="_Toc47453314"/>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一、评标方法与定标原则</w:t>
      </w:r>
      <w:bookmarkEnd w:id="249"/>
      <w:r/>
      <w:bookmarkEnd w:id="250"/>
      <w:r/>
      <w:bookmarkEnd w:id="251"/>
      <w:r/>
      <w:bookmarkEnd w:id="252"/>
      <w:r/>
      <w:bookmarkEnd w:id="253"/>
      <w:r/>
      <w:bookmarkEnd w:id="254"/>
      <w:r/>
      <w:bookmarkEnd w:id="255"/>
      <w:r/>
      <w:r/>
    </w:p>
    <w:p>
      <w:pPr>
        <w:pStyle w:val="884"/>
        <w:jc w:val="both"/>
        <w:spacing w:before="0" w:after="0"/>
        <w:rPr>
          <w:rFonts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评委会将对确定为实质性响应招标文件要求的投标文件进行评价和比较，评标采用综合评分法。采用综合评分法的，评标结果按评审后得分由高到低顺序排列。得分相同的，按投标报价由低到高顺序排列。得分且投标报价相同的，</w:t>
      </w:r>
      <w:r>
        <w:rPr>
          <w:rFonts w:hint="eastAsia" w:ascii="宋体" w:hAnsi="宋体" w:cs="宋体"/>
          <w:color w:val="000000" w:themeColor="text1"/>
          <w:highlight w:val="none"/>
          <w:lang w:eastAsia="zh-CN"/>
          <w14:textFill>
            <w14:solidFill>
              <w14:schemeClr w14:val="tx1"/>
            </w14:solidFill>
          </w14:textFill>
        </w:rPr>
        <w:t xml:space="preserve">按照技术指标优劣顺序排列。</w:t>
      </w:r>
      <w:r>
        <w:rPr>
          <w:rFonts w:hint="eastAsia" w:ascii="宋体" w:hAnsi="宋体" w:cs="宋体"/>
          <w:bCs/>
          <w:color w:val="000000" w:themeColor="text1"/>
          <w:highlight w:val="none"/>
          <w:lang w:eastAsia="zh-CN"/>
          <w14:textFill>
            <w14:solidFill>
              <w14:schemeClr w14:val="tx1"/>
            </w14:solidFill>
          </w14:textFill>
        </w:rPr>
        <w:t xml:space="preserve">投标文件满足招标文件全部实质性要求，且按照评审因素的量化指标评审得分</w:t>
      </w:r>
      <w:bookmarkStart w:id="256" w:name="_Hlk172038253"/>
      <w:r>
        <w:rPr>
          <w:rFonts w:hint="eastAsia" w:ascii="宋体" w:hAnsi="宋体" w:cs="宋体"/>
          <w:bCs/>
          <w:color w:val="000000" w:themeColor="text1"/>
          <w:highlight w:val="none"/>
          <w:lang w:eastAsia="zh-CN"/>
          <w14:textFill>
            <w14:solidFill>
              <w14:schemeClr w14:val="tx1"/>
            </w14:solidFill>
          </w14:textFill>
        </w:rPr>
        <w:t xml:space="preserve">最高的投标人为中标候选人。</w:t>
      </w:r>
      <w:bookmarkStart w:id="257" w:name="_Hlk150936301"/>
      <w:r/>
      <w:bookmarkEnd w:id="256"/>
      <w:bookmarkEnd w:id="257"/>
      <w:r/>
    </w:p>
    <w:p>
      <w:pPr>
        <w:pStyle w:val="846"/>
        <w:ind w:firstLine="482"/>
        <w:jc w:val="both"/>
        <w:spacing w:before="0" w:after="0" w:line="360" w:lineRule="auto"/>
        <w:rPr>
          <w:rFonts w:ascii="宋体" w:hAnsi="宋体" w:eastAsia="宋体" w:cs="宋体"/>
          <w:color w:val="000000" w:themeColor="text1"/>
          <w:sz w:val="24"/>
          <w:szCs w:val="24"/>
          <w:highlight w:val="none"/>
          <w:lang w:eastAsia="zh-CN"/>
          <w14:textFill>
            <w14:solidFill>
              <w14:schemeClr w14:val="tx1"/>
            </w14:solidFill>
          </w14:textFill>
        </w:rPr>
      </w:pPr>
      <w:r/>
      <w:bookmarkStart w:id="258" w:name="_Toc9363438"/>
      <w:r/>
      <w:bookmarkStart w:id="259" w:name="_Toc12708984"/>
      <w:r/>
      <w:bookmarkStart w:id="260" w:name="_Toc12887275"/>
      <w:r/>
      <w:bookmarkStart w:id="261" w:name="_Toc172203082"/>
      <w:r/>
      <w:bookmarkStart w:id="262" w:name="_Toc210922448"/>
      <w:r/>
      <w:bookmarkStart w:id="263" w:name="_Toc226127004"/>
      <w:r/>
      <w:bookmarkStart w:id="264" w:name="_Toc47453315"/>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二、评标标准</w:t>
      </w:r>
      <w:bookmarkEnd w:id="258"/>
      <w:r/>
      <w:bookmarkEnd w:id="259"/>
      <w:r/>
      <w:bookmarkEnd w:id="260"/>
      <w:r/>
      <w:bookmarkEnd w:id="261"/>
      <w:r/>
      <w:bookmarkEnd w:id="262"/>
      <w:r/>
      <w:bookmarkEnd w:id="263"/>
      <w:r/>
      <w:bookmarkEnd w:id="264"/>
      <w:r/>
      <w:r/>
    </w:p>
    <w:p>
      <w:pPr>
        <w:ind w:firstLine="480"/>
        <w:spacing w:line="360" w:lineRule="auto"/>
        <w:rPr>
          <w:rFonts w:ascii="宋体" w:hAnsi="宋体" w:cs="宋体"/>
          <w:bCs/>
          <w:color w:val="000000" w:themeColor="text1"/>
          <w:sz w:val="24"/>
          <w:highlight w:val="none"/>
          <w14:textFill>
            <w14:solidFill>
              <w14:schemeClr w14:val="tx1"/>
            </w14:solidFill>
          </w14:textFill>
        </w:rPr>
      </w:pPr>
      <w:r/>
      <w:bookmarkStart w:id="265" w:name="_Hlk106725945"/>
      <w:r>
        <w:rPr>
          <w:rFonts w:hint="eastAsia" w:ascii="宋体" w:hAnsi="宋体" w:cs="宋体"/>
          <w:bCs/>
          <w:color w:val="000000" w:themeColor="text1"/>
          <w:sz w:val="24"/>
          <w:highlight w:val="none"/>
          <w14:textFill>
            <w14:solidFill>
              <w14:schemeClr w14:val="tx1"/>
            </w14:solidFill>
          </w14:textFill>
        </w:rPr>
        <w:t xml:space="preserve">本项目采用综合评分法确定中标候选人。评标委员会将按下列评分办法和标准进行评分，总分值为100分。</w:t>
      </w:r>
      <w:bookmarkStart w:id="266" w:name="_Toc12887276"/>
      <w:r/>
      <w:bookmarkStart w:id="267" w:name="_Toc8485125"/>
      <w:r/>
      <w:bookmarkStart w:id="268" w:name="_Toc9363439"/>
      <w:r/>
      <w:bookmarkStart w:id="269" w:name="_Hlk106727412"/>
      <w:r/>
      <w:bookmarkStart w:id="270" w:name="_Toc12708985"/>
      <w:r/>
      <w:bookmarkStart w:id="271" w:name="_Toc47453316"/>
      <w:r/>
      <w:bookmarkStart w:id="272" w:name="_Hlk106726583"/>
      <w:r/>
      <w:r/>
    </w:p>
    <w:tbl>
      <w:tblPr>
        <w:tblStyle w:val="675"/>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3"/>
        <w:gridCol w:w="1004"/>
        <w:gridCol w:w="7402"/>
        <w:gridCol w:w="549"/>
      </w:tblGrid>
      <w:tr>
        <w:trPr>
          <w:jc w:val="center"/>
          <w:trHeight w:val="20"/>
        </w:trPr>
        <w:tc>
          <w:tcPr>
            <w:tcBorders>
              <w:right w:val="single" w:color="auto" w:sz="4" w:space="0"/>
            </w:tcBorders>
            <w:tcW w:w="563" w:type="dxa"/>
            <w:vAlign w:val="center"/>
            <w:textDirection w:val="lrTb"/>
            <w:noWrap w:val="false"/>
          </w:tcPr>
          <w:p>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序号</w:t>
            </w:r>
            <w:r/>
          </w:p>
        </w:tc>
        <w:tc>
          <w:tcPr>
            <w:tcBorders>
              <w:left w:val="single" w:color="auto" w:sz="4" w:space="0"/>
            </w:tcBorders>
            <w:tcW w:w="1004" w:type="dxa"/>
            <w:vAlign w:val="center"/>
            <w:textDirection w:val="lrTb"/>
            <w:noWrap w:val="false"/>
          </w:tcPr>
          <w:p>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评审因素</w:t>
            </w:r>
            <w:r/>
          </w:p>
        </w:tc>
        <w:tc>
          <w:tcPr>
            <w:tcW w:w="7402" w:type="dxa"/>
            <w:vAlign w:val="center"/>
            <w:textDirection w:val="lrTb"/>
            <w:noWrap w:val="false"/>
          </w:tcPr>
          <w:p>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评审因素</w:t>
            </w:r>
            <w:r/>
          </w:p>
        </w:tc>
        <w:tc>
          <w:tcPr>
            <w:tcW w:w="549" w:type="dxa"/>
            <w:vAlign w:val="center"/>
            <w:textDirection w:val="lrTb"/>
            <w:noWrap w:val="false"/>
          </w:tcPr>
          <w:p>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分值</w:t>
            </w:r>
            <w:r/>
          </w:p>
        </w:tc>
      </w:tr>
      <w:tr>
        <w:trPr>
          <w:jc w:val="center"/>
          <w:trHeight w:val="20"/>
        </w:trPr>
        <w:tc>
          <w:tcPr>
            <w:tcBorders>
              <w:right w:val="single" w:color="auto" w:sz="4" w:space="0"/>
            </w:tcBorders>
            <w:tcW w:w="563"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Borders>
              <w:left w:val="single" w:color="auto" w:sz="4" w:space="0"/>
            </w:tcBorders>
            <w:tcW w:w="1004"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价格分</w:t>
            </w:r>
            <w:r/>
          </w:p>
        </w:tc>
        <w:tc>
          <w:tcPr>
            <w:tcW w:w="7402" w:type="dxa"/>
            <w:vAlign w:val="center"/>
            <w:textDirection w:val="lrTb"/>
            <w:noWrap w:val="false"/>
          </w:tcPr>
          <w:p>
            <w:pPr>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2位。</w:t>
            </w:r>
            <w:r/>
          </w:p>
        </w:tc>
        <w:tc>
          <w:tcPr>
            <w:tcW w:w="549" w:type="dxa"/>
            <w:vAlign w:val="center"/>
            <w:textDirection w:val="lrTb"/>
            <w:noWrap w:val="false"/>
          </w:tcPr>
          <w:p>
            <w:pPr>
              <w:jc w:val="cente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30</w:t>
            </w:r>
            <w:r/>
          </w:p>
        </w:tc>
      </w:tr>
      <w:tr>
        <w:trPr>
          <w:cantSplit/>
          <w:jc w:val="center"/>
          <w:trHeight w:val="90"/>
        </w:trPr>
        <w:tc>
          <w:tcPr>
            <w:shd w:val="clear" w:color="auto" w:fill="auto"/>
            <w:tcBorders>
              <w:bottom w:val="single" w:color="auto" w:sz="4" w:space="0"/>
              <w:right w:val="single" w:color="auto" w:sz="4" w:space="0"/>
            </w:tcBorders>
            <w:tcW w:w="56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shd w:val="clear" w:color="auto" w:fill="auto"/>
            <w:tcBorders>
              <w:left w:val="single" w:color="auto" w:sz="4" w:space="0"/>
              <w:bottom w:val="single" w:color="auto" w:sz="4" w:space="0"/>
            </w:tcBorders>
            <w:tcW w:w="100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技术参数及性能响应应评价</w:t>
            </w:r>
            <w:r/>
          </w:p>
        </w:tc>
        <w:tc>
          <w:tcPr>
            <w:shd w:val="clear" w:color="auto" w:fill="auto"/>
            <w:tcBorders>
              <w:bottom w:val="single" w:color="auto" w:sz="4" w:space="0"/>
            </w:tcBorders>
            <w:tcW w:w="7402" w:type="dxa"/>
            <w:vAlign w:val="center"/>
            <w:textDirection w:val="lrTb"/>
            <w:noWrap w:val="false"/>
          </w:tcPr>
          <w:p>
            <w:pP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技术参数响应全部满足招标文件技术要求的得满分18分；正偏离不加分；招标文件技术要求中标注“★”的为关键参数，有一项负偏离，投标即判定为无效投标；标注“▲”的为重要参数，每有一项负偏离扣1分，扣完为止；其余为一般参数，每有一项负偏离扣0.5分，扣完为止。</w:t>
            </w:r>
            <w:r/>
          </w:p>
          <w:p>
            <w:pP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投标人应根据所投产品技术参数性能对招标文件技术要求进行逐条响应，并提供技术要求中要求提供的证明材料。其中，“▲”及“★”参数如要求中未明确要求提供何种证明材料的，投标人应自行提供证明材料。</w:t>
            </w:r>
            <w:r/>
          </w:p>
        </w:tc>
        <w:tc>
          <w:tcPr>
            <w:shd w:val="clear" w:color="auto" w:fill="auto"/>
            <w:tcW w:w="549"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w:t>
            </w:r>
            <w:r/>
          </w:p>
        </w:tc>
      </w:tr>
      <w:tr>
        <w:trPr>
          <w:cantSplit/>
          <w:jc w:val="center"/>
          <w:trHeight w:val="20"/>
        </w:trPr>
        <w:tc>
          <w:tcPr>
            <w:tcBorders>
              <w:bottom w:val="single" w:color="auto" w:sz="4" w:space="0"/>
              <w:right w:val="single" w:color="auto" w:sz="4" w:space="0"/>
            </w:tcBorders>
            <w:tcW w:w="56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Borders>
              <w:left w:val="single" w:color="auto" w:sz="4" w:space="0"/>
              <w:bottom w:val="single" w:color="auto" w:sz="4" w:space="0"/>
            </w:tcBorders>
            <w:tcW w:w="100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质保期</w:t>
            </w:r>
            <w:r/>
          </w:p>
        </w:tc>
        <w:tc>
          <w:tcPr>
            <w:tcBorders>
              <w:bottom w:val="single" w:color="auto" w:sz="4" w:space="0"/>
            </w:tcBorders>
            <w:tcW w:w="7402"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投标人对其所投的所有产品的免费质保期在满足5年的基础上，承诺对本项目延长质保期服务的，每增加1年免费质保得</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分，最高得</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分。</w:t>
            </w:r>
            <w:r/>
          </w:p>
        </w:tc>
        <w:tc>
          <w:tcPr>
            <w:tcW w:w="549" w:type="dxa"/>
            <w:vAlign w:val="center"/>
            <w:textDirection w:val="lrTb"/>
            <w:noWrap w:val="false"/>
          </w:tcPr>
          <w:p>
            <w:pPr>
              <w:jc w:val="center"/>
              <w:widowControl/>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p>
        </w:tc>
      </w:tr>
      <w:tr>
        <w:trPr>
          <w:cantSplit/>
          <w:jc w:val="center"/>
          <w:trHeight w:val="20"/>
        </w:trPr>
        <w:tc>
          <w:tcPr>
            <w:tcBorders>
              <w:top w:val="single" w:color="auto" w:sz="4" w:space="0"/>
              <w:right w:val="single" w:color="auto" w:sz="4" w:space="0"/>
            </w:tcBorders>
            <w:tcW w:w="56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Borders>
              <w:top w:val="single" w:color="auto" w:sz="4" w:space="0"/>
              <w:left w:val="single" w:color="auto" w:sz="4" w:space="0"/>
            </w:tcBorders>
            <w:tcW w:w="100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成功案例</w:t>
            </w:r>
            <w:r/>
          </w:p>
        </w:tc>
        <w:tc>
          <w:tcPr>
            <w:tcBorders>
              <w:top w:val="single" w:color="auto" w:sz="4" w:space="0"/>
            </w:tcBorders>
            <w:tcW w:w="7402"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投标人需提供自2023年1月1日以来，与本项目类似业绩（合同内须体现全光网络建设内容），每提供一个得2分，本项最高得6分。</w:t>
            </w:r>
            <w:r/>
          </w:p>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注：提供合同复印件及竣工验收证明，不提供或提供不全或合同内容不符不得分。时间以合同签订时间为准。</w:t>
            </w:r>
            <w:r/>
          </w:p>
        </w:tc>
        <w:tc>
          <w:tcPr>
            <w:tcW w:w="549"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r>
      <w:tr>
        <w:trPr>
          <w:cantSplit/>
          <w:jc w:val="center"/>
          <w:trHeight w:val="20"/>
        </w:trPr>
        <w:tc>
          <w:tcPr>
            <w:tcBorders>
              <w:bottom w:val="single" w:color="auto" w:sz="4" w:space="0"/>
              <w:right w:val="single" w:color="auto" w:sz="4" w:space="0"/>
            </w:tcBorders>
            <w:tcW w:w="563" w:type="dxa"/>
            <w:vAlign w:val="center"/>
            <w:textDirection w:val="lrTb"/>
            <w:noWrap w:val="false"/>
          </w:tcPr>
          <w:p>
            <w:pPr>
              <w:jc w:val="center"/>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Borders>
              <w:left w:val="single" w:color="auto" w:sz="4" w:space="0"/>
              <w:bottom w:val="single" w:color="auto" w:sz="4" w:space="0"/>
            </w:tcBorders>
            <w:tcW w:w="1004" w:type="dxa"/>
            <w:vAlign w:val="center"/>
            <w:textDirection w:val="lrTb"/>
            <w:noWrap w:val="false"/>
          </w:tcPr>
          <w:p>
            <w:pPr>
              <w:jc w:val="center"/>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投标人履约能力评价</w:t>
            </w:r>
            <w:r/>
          </w:p>
        </w:tc>
        <w:tc>
          <w:tcPr>
            <w:tcBorders>
              <w:bottom w:val="single" w:color="auto" w:sz="4" w:space="0"/>
            </w:tcBorders>
            <w:tcW w:w="7402"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投标人具有信息技术服务标准（ITSS）符合性证书、ISO9001质量管理体系认证证书、ISO20000信息技术服务管理体系认证证书、ISO27001信息安全管理体系认证证书、每提供一个得1分，最高得4分。</w:t>
            </w:r>
            <w:r/>
          </w:p>
        </w:tc>
        <w:tc>
          <w:tcPr>
            <w:tcW w:w="549" w:type="dxa"/>
            <w:vAlign w:val="center"/>
            <w:textDirection w:val="lrTb"/>
            <w:noWrap w:val="false"/>
          </w:tcPr>
          <w:p>
            <w:pPr>
              <w:jc w:val="center"/>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r>
      <w:tr>
        <w:trPr>
          <w:cantSplit/>
          <w:jc w:val="center"/>
          <w:trHeight w:val="464"/>
        </w:trPr>
        <w:tc>
          <w:tcPr>
            <w:tcBorders>
              <w:top w:val="single" w:color="auto" w:sz="4" w:space="0"/>
              <w:right w:val="single" w:color="auto" w:sz="4" w:space="0"/>
            </w:tcBorders>
            <w:tcW w:w="56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Borders>
              <w:top w:val="single" w:color="auto" w:sz="4" w:space="0"/>
              <w:left w:val="single" w:color="auto" w:sz="4" w:space="0"/>
            </w:tcBorders>
            <w:tcW w:w="100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w:t>
            </w:r>
            <w:r>
              <w:rPr>
                <w:rFonts w:hint="eastAsia" w:ascii="宋体" w:hAnsi="宋体" w:cs="宋体"/>
                <w:color w:val="000000" w:themeColor="text1"/>
                <w:sz w:val="24"/>
                <w:highlight w:val="none"/>
                <w:lang w:val="en-US" w:eastAsia="zh-CN"/>
                <w14:textFill>
                  <w14:solidFill>
                    <w14:schemeClr w14:val="tx1"/>
                  </w14:solidFill>
                </w14:textFill>
              </w:rPr>
              <w:t xml:space="preserve">技术</w:t>
            </w:r>
            <w:r>
              <w:rPr>
                <w:rFonts w:hint="eastAsia" w:ascii="宋体" w:hAnsi="宋体" w:cs="宋体"/>
                <w:color w:val="000000" w:themeColor="text1"/>
                <w:sz w:val="24"/>
                <w:highlight w:val="none"/>
                <w14:textFill>
                  <w14:solidFill>
                    <w14:schemeClr w14:val="tx1"/>
                  </w14:solidFill>
                </w14:textFill>
              </w:rPr>
              <w:t xml:space="preserve">负责人能力评价</w:t>
            </w:r>
            <w:r/>
          </w:p>
        </w:tc>
        <w:tc>
          <w:tcPr>
            <w:tcBorders>
              <w:top w:val="single" w:color="auto" w:sz="4" w:space="0"/>
            </w:tcBorders>
            <w:tcW w:w="7402"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项目技术负责人具有信息系统项目管理师、网络规划设计师、网络工程师、高级工程师的，每提供一个得1分，最高得4分。</w:t>
            </w:r>
            <w:r/>
          </w:p>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注：提供有效的证书证明材料复印件及投标人</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自2026年1月至今任意一个月为其缴纳社保的证明材料</w:t>
            </w:r>
            <w:r>
              <w:rPr>
                <w:rFonts w:hint="eastAsia" w:ascii="宋体" w:hAnsi="宋体" w:cs="宋体"/>
                <w:color w:val="000000" w:themeColor="text1"/>
                <w:sz w:val="24"/>
                <w:highlight w:val="none"/>
                <w14:textFill>
                  <w14:solidFill>
                    <w14:schemeClr w14:val="tx1"/>
                  </w14:solidFill>
                </w14:textFill>
              </w:rPr>
              <w:t xml:space="preserve">。</w:t>
            </w:r>
            <w:r/>
          </w:p>
        </w:tc>
        <w:tc>
          <w:tcPr>
            <w:tcW w:w="549" w:type="dxa"/>
            <w:vAlign w:val="center"/>
            <w:textDirection w:val="lrTb"/>
            <w:noWrap w:val="false"/>
          </w:tcPr>
          <w:p>
            <w:pPr>
              <w:jc w:val="center"/>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w:t>
            </w:r>
            <w:r/>
          </w:p>
        </w:tc>
      </w:tr>
      <w:tr>
        <w:trPr>
          <w:cantSplit/>
          <w:jc w:val="center"/>
          <w:trHeight w:val="464"/>
        </w:trPr>
        <w:tc>
          <w:tcPr>
            <w:shd w:val="clear" w:color="auto" w:fill="auto"/>
            <w:tcBorders>
              <w:top w:val="single" w:color="auto" w:sz="4" w:space="0"/>
              <w:right w:val="single" w:color="auto" w:sz="4" w:space="0"/>
            </w:tcBorders>
            <w:tcW w:w="56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Borders>
              <w:top w:val="single" w:color="auto" w:sz="4" w:space="0"/>
              <w:left w:val="single" w:color="auto" w:sz="4" w:space="0"/>
            </w:tcBorders>
            <w:tcW w:w="100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项目组成员能力评价</w:t>
            </w:r>
            <w:r/>
          </w:p>
        </w:tc>
        <w:tc>
          <w:tcPr>
            <w:tcBorders>
              <w:top w:val="single" w:color="auto" w:sz="4" w:space="0"/>
            </w:tcBorders>
            <w:tcW w:w="7402" w:type="dxa"/>
            <w:vAlign w:val="center"/>
            <w:textDirection w:val="lrTb"/>
            <w:noWrap w:val="false"/>
          </w:tcPr>
          <w:p>
            <w:pPr>
              <w:jc w:val="left"/>
              <w:widowControl/>
              <w:rPr>
                <w:rFonts w:hint="default" w:ascii="宋体" w:hAnsi="宋体" w:eastAsia="宋体" w:cs="宋体"/>
                <w:color w:val="000000" w:themeColor="text1"/>
                <w:sz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项目组成员具有信息安全工程师、CISP的</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专职安全员（持有C证）查询截图网址https://zlaq.mohurd.gov.cn/fwmh/bjxcjgl/fwmh/pages/default/index.html、</w:t>
            </w:r>
            <w:r>
              <w:rPr>
                <w:rFonts w:ascii="宋体" w:hAnsi="宋体" w:eastAsia="宋体" w:cs="宋体"/>
                <w:color w:val="000000" w:themeColor="text1"/>
                <w:sz w:val="24"/>
                <w:szCs w:val="24"/>
                <w:highlight w:val="none"/>
                <w14:textFill>
                  <w14:solidFill>
                    <w14:schemeClr w14:val="tx1"/>
                  </w14:solidFill>
                </w14:textFill>
              </w:rPr>
              <w:t xml:space="preserve">特种作业操作证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低压电工作业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、特种操作证（高处安装、维护、拆除作业）以上</w:t>
            </w:r>
            <w:r>
              <w:rPr>
                <w:rFonts w:hint="eastAsia" w:ascii="宋体" w:hAnsi="宋体" w:eastAsia="宋体" w:cs="宋体"/>
                <w:color w:val="000000" w:themeColor="text1"/>
                <w:sz w:val="24"/>
                <w:szCs w:val="24"/>
                <w:highlight w:val="none"/>
                <w14:textFill>
                  <w14:solidFill>
                    <w14:schemeClr w14:val="tx1"/>
                  </w14:solidFill>
                </w14:textFill>
              </w:rPr>
              <w:t xml:space="preserve">每提供一个得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。查询截图网址https://cx.mem.gov.cn。</w:t>
            </w:r>
            <w:r>
              <w:rPr>
                <w:rFonts w:hint="eastAsia" w:ascii="宋体" w:hAnsi="宋体" w:cs="宋体"/>
                <w:color w:val="000000" w:themeColor="text1"/>
                <w:sz w:val="24"/>
                <w:highlight w:val="none"/>
                <w:lang w:val="en-US" w:eastAsia="zh-CN" w:bidi="ar"/>
                <w14:textFill>
                  <w14:solidFill>
                    <w14:schemeClr w14:val="tx1"/>
                  </w14:solidFill>
                </w14:textFill>
              </w:rPr>
              <w:t xml:space="preserve">（不可一人重复得分）</w:t>
            </w:r>
            <w:r/>
          </w:p>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注：1.提供上述人员相关证书查询截图及投标人自2026年1月至今任意一个月为其缴纳社保的证明材料，</w:t>
            </w:r>
            <w:r>
              <w:rPr>
                <w:rFonts w:hint="eastAsia" w:ascii="宋体" w:hAnsi="宋体"/>
                <w:bCs/>
                <w:iCs/>
                <w:color w:val="000000" w:themeColor="text1"/>
                <w:sz w:val="24"/>
                <w:highlight w:val="none"/>
                <w:lang w:val="en-US" w:eastAsia="zh-CN"/>
                <w14:textFill>
                  <w14:solidFill>
                    <w14:schemeClr w14:val="tx1"/>
                  </w14:solidFill>
                </w14:textFill>
              </w:rPr>
              <w:t xml:space="preserve">以上两点缺一不可</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w:t>
            </w:r>
            <w:r/>
          </w:p>
        </w:tc>
        <w:tc>
          <w:tcPr>
            <w:tcW w:w="549" w:type="dxa"/>
            <w:vAlign w:val="center"/>
            <w:textDirection w:val="lrTb"/>
            <w:noWrap w:val="false"/>
          </w:tcPr>
          <w:p>
            <w:pPr>
              <w:jc w:val="center"/>
              <w:widowControl/>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5</w:t>
            </w:r>
            <w:r/>
          </w:p>
        </w:tc>
      </w:tr>
      <w:tr>
        <w:trPr>
          <w:jc w:val="center"/>
          <w:trHeight w:val="1137"/>
        </w:trPr>
        <w:tc>
          <w:tcPr>
            <w:shd w:val="clear" w:color="auto" w:fill="auto"/>
            <w:tcBorders>
              <w:right w:val="single" w:color="auto" w:sz="4" w:space="0"/>
            </w:tcBorders>
            <w:tcW w:w="563" w:type="dxa"/>
            <w:vAlign w:val="center"/>
            <w:vMerge w:val="restart"/>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shd w:val="clear" w:color="auto" w:fill="auto"/>
            <w:tcBorders>
              <w:left w:val="single" w:color="auto" w:sz="4" w:space="0"/>
            </w:tcBorders>
            <w:tcW w:w="1004" w:type="dxa"/>
            <w:vAlign w:val="center"/>
            <w:vMerge w:val="restart"/>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技术方案评价</w:t>
            </w:r>
            <w:r/>
          </w:p>
        </w:tc>
        <w:tc>
          <w:tcPr>
            <w:shd w:val="clear" w:color="auto" w:fill="auto"/>
            <w:tcW w:w="7402"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根据投标人提供的技术方案，考察各投标人是否完全理解本项目需求，包括但不限于：背景与需求分析、建设思路、主要系统方案等。</w:t>
            </w:r>
            <w:r/>
          </w:p>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方案所述内容完整详实，清晰描述相关内容的得3分；方案基本完整，对相关内容均有表述的得2分；完整性有缺陷的得1分；未提供不得分。</w:t>
            </w:r>
            <w:r/>
          </w:p>
        </w:tc>
        <w:tc>
          <w:tcPr>
            <w:shd w:val="clear" w:color="auto" w:fill="auto"/>
            <w:tcW w:w="549"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r>
      <w:tr>
        <w:trPr>
          <w:jc w:val="center"/>
          <w:trHeight w:val="664"/>
        </w:trPr>
        <w:tc>
          <w:tcPr>
            <w:shd w:val="clear" w:color="auto" w:fill="auto"/>
            <w:tcBorders>
              <w:right w:val="single" w:color="auto" w:sz="4" w:space="0"/>
            </w:tcBorders>
            <w:tcW w:w="563" w:type="dxa"/>
            <w:vAlign w:val="center"/>
            <w:vMerge w:val="continue"/>
            <w:textDirection w:val="lrTb"/>
            <w:noWrap w:val="false"/>
          </w:tcPr>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shd w:val="clear" w:color="auto" w:fill="auto"/>
            <w:tcBorders>
              <w:left w:val="single" w:color="auto" w:sz="4" w:space="0"/>
            </w:tcBorders>
            <w:tcW w:w="1004" w:type="dxa"/>
            <w:vAlign w:val="center"/>
            <w:vMerge w:val="continue"/>
            <w:textDirection w:val="lrTb"/>
            <w:noWrap w:val="false"/>
          </w:tcPr>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shd w:val="clear" w:color="auto" w:fill="auto"/>
            <w:tcW w:w="7402"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方案具备较强合理性的得3分；方案具备一定合理性的得2分；方案合理性有缺陷的得1分；未提供不得分。</w:t>
            </w:r>
            <w:r/>
          </w:p>
        </w:tc>
        <w:tc>
          <w:tcPr>
            <w:shd w:val="clear" w:color="auto" w:fill="auto"/>
            <w:tcW w:w="549"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r>
      <w:tr>
        <w:trPr>
          <w:jc w:val="center"/>
          <w:trHeight w:val="877"/>
        </w:trPr>
        <w:tc>
          <w:tcPr>
            <w:shd w:val="clear" w:color="auto" w:fill="auto"/>
            <w:tcBorders>
              <w:right w:val="single" w:color="auto" w:sz="4" w:space="0"/>
            </w:tcBorders>
            <w:tcW w:w="563" w:type="dxa"/>
            <w:vAlign w:val="center"/>
            <w:vMerge w:val="continue"/>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shd w:val="clear" w:color="auto" w:fill="auto"/>
            <w:tcBorders>
              <w:left w:val="single" w:color="auto" w:sz="4" w:space="0"/>
            </w:tcBorders>
            <w:tcW w:w="1004" w:type="dxa"/>
            <w:vAlign w:val="center"/>
            <w:vMerge w:val="continue"/>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shd w:val="clear" w:color="auto" w:fill="auto"/>
            <w:tcW w:w="7402"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方案具备较强针对性且切实可行的得3分；方案具备一定针对性及可行性的得2分；方案针对性或可行性有缺陷的得1分；未提供不得分。</w:t>
            </w:r>
            <w:r/>
          </w:p>
        </w:tc>
        <w:tc>
          <w:tcPr>
            <w:shd w:val="clear" w:color="auto" w:fill="auto"/>
            <w:tcW w:w="549"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r>
      <w:tr>
        <w:trPr>
          <w:jc w:val="center"/>
          <w:trHeight w:val="1137"/>
        </w:trPr>
        <w:tc>
          <w:tcPr>
            <w:shd w:val="clear" w:color="auto" w:fill="auto"/>
            <w:tcBorders>
              <w:right w:val="single" w:color="auto" w:sz="4" w:space="0"/>
            </w:tcBorders>
            <w:tcW w:w="563" w:type="dxa"/>
            <w:vAlign w:val="center"/>
            <w:vMerge w:val="restart"/>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p>
        </w:tc>
        <w:tc>
          <w:tcPr>
            <w:shd w:val="clear" w:color="auto" w:fill="auto"/>
            <w:tcBorders>
              <w:left w:val="single" w:color="auto" w:sz="4" w:space="0"/>
            </w:tcBorders>
            <w:tcW w:w="1004" w:type="dxa"/>
            <w:vAlign w:val="center"/>
            <w:vMerge w:val="restart"/>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实施方案评价</w:t>
            </w:r>
            <w:r/>
          </w:p>
        </w:tc>
        <w:tc>
          <w:tcPr>
            <w:shd w:val="clear" w:color="auto" w:fill="auto"/>
            <w:tcW w:w="7402"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根据投标人提供的实施方案，考察各投标人是否完全理解本项目需求，包括但不限于：质量保证措施、项目进度计划安排、安装调试方案、验收组织安排等。</w:t>
            </w:r>
            <w:r/>
          </w:p>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方案所述内容完整详实，清晰描述相关内容的得3分；方案基本完整，对相关内容均有表述的得2分；方案完整性有缺陷的得1分；未提供不得分；</w:t>
            </w:r>
            <w:r/>
          </w:p>
        </w:tc>
        <w:tc>
          <w:tcPr>
            <w:shd w:val="clear" w:color="auto" w:fill="auto"/>
            <w:tcW w:w="549"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r>
      <w:tr>
        <w:trPr>
          <w:jc w:val="center"/>
          <w:trHeight w:val="664"/>
        </w:trPr>
        <w:tc>
          <w:tcPr>
            <w:shd w:val="clear" w:color="auto" w:fill="auto"/>
            <w:tcBorders>
              <w:right w:val="single" w:color="auto" w:sz="4" w:space="0"/>
            </w:tcBorders>
            <w:tcW w:w="563" w:type="dxa"/>
            <w:vAlign w:val="center"/>
            <w:vMerge w:val="continue"/>
            <w:textDirection w:val="lrTb"/>
            <w:noWrap w:val="false"/>
          </w:tcPr>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shd w:val="clear" w:color="auto" w:fill="auto"/>
            <w:tcBorders>
              <w:left w:val="single" w:color="auto" w:sz="4" w:space="0"/>
            </w:tcBorders>
            <w:tcW w:w="1004" w:type="dxa"/>
            <w:vAlign w:val="center"/>
            <w:vMerge w:val="continue"/>
            <w:textDirection w:val="lrTb"/>
            <w:noWrap w:val="false"/>
          </w:tcPr>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shd w:val="clear" w:color="auto" w:fill="auto"/>
            <w:tcW w:w="7402"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方案具备较强合理性的得3分；方案具备一定合理性的得2分，方案合理性有缺陷的得1分；未提供不得分。</w:t>
            </w:r>
            <w:r/>
          </w:p>
        </w:tc>
        <w:tc>
          <w:tcPr>
            <w:shd w:val="clear" w:color="auto" w:fill="auto"/>
            <w:tcW w:w="549"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r>
      <w:tr>
        <w:trPr>
          <w:jc w:val="center"/>
          <w:trHeight w:val="652"/>
        </w:trPr>
        <w:tc>
          <w:tcPr>
            <w:shd w:val="clear" w:color="auto" w:fill="auto"/>
            <w:tcBorders>
              <w:right w:val="single" w:color="auto" w:sz="4" w:space="0"/>
            </w:tcBorders>
            <w:tcW w:w="563" w:type="dxa"/>
            <w:vAlign w:val="center"/>
            <w:vMerge w:val="continue"/>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shd w:val="clear" w:color="auto" w:fill="auto"/>
            <w:tcBorders>
              <w:left w:val="single" w:color="auto" w:sz="4" w:space="0"/>
            </w:tcBorders>
            <w:tcW w:w="1004" w:type="dxa"/>
            <w:vAlign w:val="center"/>
            <w:vMerge w:val="continue"/>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shd w:val="clear" w:color="auto" w:fill="auto"/>
            <w:tcW w:w="7402"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方案具备较强针对性且切实可行的得3分；方案具备一定针对性及可行性的得2分；方案针对性或可行性有缺陷的得1分；未提供不得分。</w:t>
            </w:r>
            <w:r/>
          </w:p>
        </w:tc>
        <w:tc>
          <w:tcPr>
            <w:shd w:val="clear" w:color="auto" w:fill="auto"/>
            <w:tcW w:w="549"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r>
      <w:tr>
        <w:trPr>
          <w:jc w:val="center"/>
          <w:trHeight w:val="726"/>
        </w:trPr>
        <w:tc>
          <w:tcPr>
            <w:shd w:val="clear" w:color="auto" w:fill="auto"/>
            <w:tcBorders>
              <w:right w:val="single" w:color="auto" w:sz="4" w:space="0"/>
            </w:tcBorders>
            <w:tcW w:w="563" w:type="dxa"/>
            <w:vAlign w:val="center"/>
            <w:vMerge w:val="restart"/>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w:t>
            </w:r>
            <w:r/>
          </w:p>
        </w:tc>
        <w:tc>
          <w:tcPr>
            <w:shd w:val="clear" w:color="auto" w:fill="auto"/>
            <w:tcBorders>
              <w:left w:val="single" w:color="auto" w:sz="4" w:space="0"/>
            </w:tcBorders>
            <w:tcW w:w="1004" w:type="dxa"/>
            <w:vAlign w:val="center"/>
            <w:vMerge w:val="restart"/>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售后服务方案</w:t>
            </w:r>
            <w:r/>
          </w:p>
        </w:tc>
        <w:tc>
          <w:tcPr>
            <w:shd w:val="clear" w:color="auto" w:fill="auto"/>
            <w:tcW w:w="7402"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根据投标人提供的售后服务方案，考察各投标人是否完全理解本项目需求，包括但不限于：整体服务方案、服务团队和以及包含定期巡检服务、应急措施、培训方案等。</w:t>
            </w:r>
            <w:r/>
          </w:p>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方案所述内容完整详实，清晰描述相关内容的得3分；方案基本完整，对相关内容均有表述的得2分；方案完整性有缺陷的得1分；未提供不得分。</w:t>
            </w:r>
            <w:r/>
          </w:p>
        </w:tc>
        <w:tc>
          <w:tcPr>
            <w:shd w:val="clear" w:color="auto" w:fill="auto"/>
            <w:tcW w:w="549"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r>
      <w:tr>
        <w:trPr>
          <w:jc w:val="center"/>
          <w:trHeight w:val="726"/>
        </w:trPr>
        <w:tc>
          <w:tcPr>
            <w:shd w:val="clear" w:color="auto" w:fill="auto"/>
            <w:tcBorders>
              <w:right w:val="single" w:color="auto" w:sz="4" w:space="0"/>
            </w:tcBorders>
            <w:tcW w:w="563" w:type="dxa"/>
            <w:vAlign w:val="center"/>
            <w:vMerge w:val="continue"/>
            <w:textDirection w:val="lrTb"/>
            <w:noWrap w:val="false"/>
          </w:tcPr>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shd w:val="clear" w:color="auto" w:fill="auto"/>
            <w:tcBorders>
              <w:left w:val="single" w:color="auto" w:sz="4" w:space="0"/>
            </w:tcBorders>
            <w:tcW w:w="1004" w:type="dxa"/>
            <w:vAlign w:val="center"/>
            <w:vMerge w:val="continue"/>
            <w:textDirection w:val="lrTb"/>
            <w:noWrap w:val="false"/>
          </w:tcPr>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shd w:val="clear" w:color="auto" w:fill="auto"/>
            <w:tcW w:w="7402"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方案具备较强合理性的得3分；方案具备一定合理性的得2分；方案合理性有缺陷的得1分；未提供不得分。</w:t>
            </w:r>
            <w:r/>
          </w:p>
        </w:tc>
        <w:tc>
          <w:tcPr>
            <w:shd w:val="clear" w:color="auto" w:fill="auto"/>
            <w:tcW w:w="549"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r>
      <w:tr>
        <w:trPr>
          <w:jc w:val="center"/>
          <w:trHeight w:val="726"/>
        </w:trPr>
        <w:tc>
          <w:tcPr>
            <w:shd w:val="clear" w:color="auto" w:fill="auto"/>
            <w:tcBorders>
              <w:right w:val="single" w:color="auto" w:sz="4" w:space="0"/>
            </w:tcBorders>
            <w:tcW w:w="563" w:type="dxa"/>
            <w:vAlign w:val="center"/>
            <w:vMerge w:val="continue"/>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shd w:val="clear" w:color="auto" w:fill="auto"/>
            <w:tcBorders>
              <w:left w:val="single" w:color="auto" w:sz="4" w:space="0"/>
            </w:tcBorders>
            <w:tcW w:w="1004" w:type="dxa"/>
            <w:vAlign w:val="center"/>
            <w:vMerge w:val="continue"/>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shd w:val="clear" w:color="auto" w:fill="auto"/>
            <w:tcW w:w="7402"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方案具备较强针对性且切实可行的得3分；方案具备一定针对性及可行性的得2分；方案针对性或可行性有缺陷的得1分；未提供不得分。</w:t>
            </w:r>
            <w:r/>
          </w:p>
        </w:tc>
        <w:tc>
          <w:tcPr>
            <w:shd w:val="clear" w:color="auto" w:fill="auto"/>
            <w:tcW w:w="549"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r>
    </w:tbl>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spacing w:line="360" w:lineRule="auto"/>
        <w:rPr>
          <w:rFonts w:ascii="宋体" w:hAnsi="宋体" w:cs="宋体"/>
          <w:b/>
          <w:iCs/>
          <w:color w:val="000000" w:themeColor="text1"/>
          <w:sz w:val="24"/>
          <w:highlight w:val="none"/>
          <w14:textFill>
            <w14:solidFill>
              <w14:schemeClr w14:val="tx1"/>
            </w14:solidFill>
          </w14:textFill>
        </w:rPr>
      </w:pPr>
      <w:r>
        <w:rPr>
          <w:rFonts w:hint="eastAsia" w:ascii="宋体" w:hAnsi="宋体" w:cs="宋体"/>
          <w:b/>
          <w:iCs/>
          <w:color w:val="000000" w:themeColor="text1"/>
          <w:sz w:val="24"/>
          <w:highlight w:val="none"/>
          <w14:textFill>
            <w14:solidFill>
              <w14:schemeClr w14:val="tx1"/>
            </w14:solidFill>
          </w14:textFill>
        </w:rPr>
        <w:t xml:space="preserve">注：在本项目合同签订前,采购人有权对中标供应商在投标文件中提供的证明材料原件进行核查，如中标供应商无法提供,或无法核实真实性的,则视为虚假响应,</w:t>
      </w: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cs="宋体"/>
          <w:b/>
          <w:iCs/>
          <w:color w:val="000000" w:themeColor="text1"/>
          <w:sz w:val="24"/>
          <w:highlight w:val="none"/>
          <w14:textFill>
            <w14:solidFill>
              <w14:schemeClr w14:val="tx1"/>
            </w14:solidFill>
          </w14:textFill>
        </w:rPr>
        <w:t xml:space="preserve">按提供虚假材料谋取中标处理。</w:t>
      </w:r>
      <w:bookmarkEnd w:id="265"/>
      <w:r/>
      <w:bookmarkEnd w:id="266"/>
      <w:r/>
      <w:bookmarkEnd w:id="267"/>
      <w:r/>
      <w:bookmarkEnd w:id="268"/>
      <w:r/>
      <w:bookmarkEnd w:id="269"/>
      <w:r/>
      <w:bookmarkEnd w:id="270"/>
      <w:r/>
      <w:bookmarkEnd w:id="271"/>
      <w:r/>
      <w:bookmarkEnd w:id="272"/>
      <w:r/>
      <w:bookmarkStart w:id="273" w:name="_Toc12887277"/>
      <w:r/>
      <w:bookmarkStart w:id="274" w:name="_Toc12708986"/>
      <w:r/>
      <w:bookmarkStart w:id="275" w:name="_Toc9363440"/>
      <w:r/>
      <w:bookmarkStart w:id="276" w:name="_Toc8485126"/>
      <w:r/>
      <w:r/>
    </w:p>
    <w:p>
      <w:pPr>
        <w:pStyle w:val="845"/>
        <w:jc w:val="center"/>
        <w:spacing w:before="286" w:after="286"/>
        <w:rPr>
          <w:rFonts w:ascii="宋体" w:hAnsi="宋体" w:eastAsia="宋体" w:cs="宋体"/>
          <w:b/>
          <w:color w:val="000000" w:themeColor="text1"/>
          <w:sz w:val="36"/>
          <w:szCs w:val="36"/>
          <w:highlight w:val="none"/>
          <w14:textFill>
            <w14:solidFill>
              <w14:schemeClr w14:val="tx1"/>
            </w14:solidFill>
          </w14:textFill>
        </w:rPr>
      </w:pPr>
      <w:r/>
      <w:bookmarkStart w:id="277" w:name="_Toc12887269"/>
      <w:r/>
      <w:bookmarkStart w:id="278" w:name="_Toc12708979"/>
      <w:r/>
      <w:bookmarkStart w:id="279" w:name="_Toc226127006"/>
      <w:r/>
      <w:bookmarkStart w:id="280" w:name="_Toc9363434"/>
      <w:r>
        <w:rPr>
          <w:rFonts w:hint="eastAsia" w:ascii="宋体" w:hAnsi="宋体" w:eastAsia="宋体" w:cs="宋体"/>
          <w:b/>
          <w:color w:val="000000" w:themeColor="text1"/>
          <w:sz w:val="36"/>
          <w:szCs w:val="36"/>
          <w:highlight w:val="none"/>
          <w14:textFill>
            <w14:solidFill>
              <w14:schemeClr w14:val="tx1"/>
            </w14:solidFill>
          </w14:textFill>
        </w:rPr>
        <w:br w:type="page" w:clear="all"/>
      </w:r>
      <w:bookmarkEnd w:id="277"/>
      <w:r/>
      <w:bookmarkEnd w:id="278"/>
      <w:r/>
      <w:bookmarkEnd w:id="279"/>
      <w:r/>
      <w:bookmarkEnd w:id="280"/>
      <w:r/>
      <w:bookmarkStart w:id="281" w:name="_Toc210922450"/>
      <w:r/>
      <w:bookmarkStart w:id="282" w:name="_Toc226127007"/>
      <w:r>
        <w:rPr>
          <w:rFonts w:hint="eastAsia" w:ascii="宋体" w:hAnsi="宋体" w:eastAsia="宋体" w:cs="宋体"/>
          <w:b/>
          <w:color w:val="000000" w:themeColor="text1"/>
          <w:sz w:val="36"/>
          <w:szCs w:val="36"/>
          <w:highlight w:val="none"/>
          <w14:textFill>
            <w14:solidFill>
              <w14:schemeClr w14:val="tx1"/>
            </w14:solidFill>
          </w14:textFill>
        </w:rPr>
        <w:t xml:space="preserve">第五章 合同文本</w:t>
      </w:r>
      <w:bookmarkEnd w:id="281"/>
      <w:r/>
      <w:r/>
    </w:p>
    <w:p>
      <w:pPr>
        <w:ind w:firstLine="480"/>
        <w:spacing w:line="560" w:lineRule="exact"/>
        <w:rPr>
          <w:rFonts w:ascii="宋体" w:hAnsi="宋体" w:cs="宋体"/>
          <w:bCs/>
          <w:color w:val="000000" w:themeColor="text1"/>
          <w:sz w:val="24"/>
          <w:highlight w:val="none"/>
          <w14:textFill>
            <w14:solidFill>
              <w14:schemeClr w14:val="tx1"/>
            </w14:solidFill>
          </w14:textFill>
        </w:rPr>
      </w:pPr>
      <w:r/>
      <w:bookmarkStart w:id="283" w:name="_Hlk8656442"/>
      <w:r/>
      <w:bookmarkStart w:id="284" w:name="_Hlk14339205"/>
      <w:r>
        <w:rPr>
          <w:rFonts w:hint="eastAsia" w:ascii="宋体" w:hAnsi="宋体" w:cs="宋体"/>
          <w:bCs/>
          <w:color w:val="000000" w:themeColor="text1"/>
          <w:sz w:val="24"/>
          <w:highlight w:val="none"/>
          <w14:textFill>
            <w14:solidFill>
              <w14:schemeClr w14:val="tx1"/>
            </w14:solidFill>
          </w14:textFill>
        </w:rPr>
        <w:t xml:space="preserve">以下为中标后签订本项目合同的通用条款，中标供应商不得提出实质性的修改，关于专用条款将由采购人与中标供应商结合本项目具体情况协商后签订。</w:t>
      </w:r>
      <w:bookmarkEnd w:id="283"/>
      <w:bookmarkEnd w:id="284"/>
      <w:r/>
    </w:p>
    <w:p>
      <w:pPr>
        <w:pStyle w:val="847"/>
        <w:rPr>
          <w:rFonts w:ascii="宋体" w:hAnsi="宋体" w:cs="宋体"/>
          <w:color w:val="000000" w:themeColor="text1"/>
          <w:highlight w:val="none"/>
          <w14:textFill>
            <w14:solidFill>
              <w14:schemeClr w14:val="tx1"/>
            </w14:solidFill>
          </w14:textFill>
        </w:rPr>
      </w:pPr>
      <w:r/>
      <w:bookmarkStart w:id="285" w:name="_Hlt16619369"/>
      <w:r/>
      <w:bookmarkEnd w:id="285"/>
      <w:r/>
      <w:bookmarkStart w:id="286" w:name="_Hlk70090906"/>
      <w:r/>
      <w:r/>
    </w:p>
    <w:p>
      <w:pPr>
        <w:pStyle w:val="846"/>
        <w:spacing w:before="286" w:after="143" w:line="400" w:lineRule="exact"/>
        <w:rPr>
          <w:rFonts w:ascii="宋体" w:hAnsi="宋体" w:eastAsia="宋体" w:cs="宋体"/>
          <w:bCs/>
          <w:color w:val="000000" w:themeColor="text1"/>
          <w:sz w:val="32"/>
          <w:szCs w:val="32"/>
          <w:highlight w:val="none"/>
          <w:lang w:eastAsia="zh-CN"/>
          <w14:textFill>
            <w14:solidFill>
              <w14:schemeClr w14:val="tx1"/>
            </w14:solidFill>
          </w14:textFill>
        </w:rPr>
      </w:pPr>
      <w:r>
        <w:rPr>
          <w:rFonts w:hint="eastAsia" w:ascii="宋体" w:hAnsi="宋体" w:eastAsia="宋体" w:cs="宋体"/>
          <w:bCs/>
          <w:color w:val="000000" w:themeColor="text1"/>
          <w:sz w:val="32"/>
          <w:szCs w:val="32"/>
          <w:highlight w:val="none"/>
          <w:lang w:eastAsia="zh-CN"/>
          <w14:textFill>
            <w14:solidFill>
              <w14:schemeClr w14:val="tx1"/>
            </w14:solidFill>
          </w14:textFill>
        </w:rPr>
        <w:t xml:space="preserve">第一部分 合同协议书</w:t>
      </w:r>
      <w:r/>
    </w:p>
    <w:p>
      <w:pPr>
        <w:pStyle w:val="882"/>
        <w:ind w:firstLine="482"/>
        <w:spacing w:before="57" w:line="400" w:lineRule="exact"/>
        <w:rPr>
          <w:rFonts w:ascii="宋体" w:hAnsi="宋体" w:cs="宋体"/>
          <w:b/>
          <w:color w:val="000000" w:themeColor="text1"/>
          <w:sz w:val="24"/>
          <w:szCs w:val="24"/>
          <w:highlight w:val="none"/>
          <w:u w:val="single"/>
          <w:lang w:eastAsia="zh-CN"/>
          <w14:textFill>
            <w14:solidFill>
              <w14:schemeClr w14:val="tx1"/>
            </w14:solidFill>
          </w14:textFill>
        </w:rPr>
      </w:pPr>
      <w:r>
        <w:rPr>
          <w:rFonts w:hint="eastAsia" w:ascii="宋体" w:hAnsi="宋体" w:cs="宋体"/>
          <w:b/>
          <w:color w:val="000000" w:themeColor="text1"/>
          <w:sz w:val="24"/>
          <w:szCs w:val="24"/>
          <w:highlight w:val="none"/>
          <w:lang w:eastAsia="zh-CN"/>
          <w14:textFill>
            <w14:solidFill>
              <w14:schemeClr w14:val="tx1"/>
            </w14:solidFill>
          </w14:textFill>
        </w:rPr>
        <w:t xml:space="preserve">发包人（全称） ：</w:t>
      </w:r>
      <w:r>
        <w:rPr>
          <w:rFonts w:hint="eastAsia" w:ascii="宋体" w:hAnsi="宋体" w:cs="宋体"/>
          <w:b/>
          <w:color w:val="000000" w:themeColor="text1"/>
          <w:sz w:val="24"/>
          <w:szCs w:val="24"/>
          <w:highlight w:val="none"/>
          <w:u w:val="single"/>
          <w:lang w:eastAsia="zh-CN"/>
          <w14:textFill>
            <w14:solidFill>
              <w14:schemeClr w14:val="tx1"/>
            </w14:solidFill>
          </w14:textFill>
        </w:rPr>
        <w:t xml:space="preserve">                                </w:t>
      </w:r>
      <w:r/>
    </w:p>
    <w:p>
      <w:pPr>
        <w:pStyle w:val="882"/>
        <w:ind w:firstLine="482"/>
        <w:spacing w:before="57" w:line="400" w:lineRule="exact"/>
        <w:rPr>
          <w:rFonts w:ascii="宋体" w:hAnsi="宋体" w:cs="宋体"/>
          <w:b/>
          <w:color w:val="000000" w:themeColor="text1"/>
          <w:sz w:val="24"/>
          <w:szCs w:val="24"/>
          <w:highlight w:val="none"/>
          <w:u w:val="single"/>
          <w:lang w:eastAsia="zh-CN"/>
          <w14:textFill>
            <w14:solidFill>
              <w14:schemeClr w14:val="tx1"/>
            </w14:solidFill>
          </w14:textFill>
        </w:rPr>
      </w:pPr>
      <w:r>
        <w:rPr>
          <w:rFonts w:hint="eastAsia" w:ascii="宋体" w:hAnsi="宋体" w:cs="宋体"/>
          <w:b/>
          <w:color w:val="000000" w:themeColor="text1"/>
          <w:sz w:val="24"/>
          <w:szCs w:val="24"/>
          <w:highlight w:val="none"/>
          <w:lang w:eastAsia="zh-CN"/>
          <w14:textFill>
            <w14:solidFill>
              <w14:schemeClr w14:val="tx1"/>
            </w14:solidFill>
          </w14:textFill>
        </w:rPr>
        <w:t xml:space="preserve">承包人（全称） ：</w:t>
      </w:r>
      <w:r>
        <w:rPr>
          <w:rFonts w:hint="eastAsia" w:ascii="宋体" w:hAnsi="宋体" w:cs="宋体"/>
          <w:b/>
          <w:color w:val="000000" w:themeColor="text1"/>
          <w:sz w:val="24"/>
          <w:szCs w:val="24"/>
          <w:highlight w:val="none"/>
          <w:u w:val="single"/>
          <w:lang w:eastAsia="zh-CN"/>
          <w14:textFill>
            <w14:solidFill>
              <w14:schemeClr w14:val="tx1"/>
            </w14:solidFill>
          </w14:textFill>
        </w:rPr>
        <w:t xml:space="preserve">                                </w:t>
      </w:r>
      <w:r/>
    </w:p>
    <w:p>
      <w:pPr>
        <w:pStyle w:val="882"/>
        <w:ind w:firstLine="482"/>
        <w:spacing w:before="57" w:line="400" w:lineRule="exact"/>
        <w:rPr>
          <w:rFonts w:ascii="宋体" w:hAnsi="宋体" w:cs="宋体"/>
          <w:b/>
          <w:color w:val="000000" w:themeColor="text1"/>
          <w:sz w:val="24"/>
          <w:szCs w:val="24"/>
          <w:highlight w:val="none"/>
          <w:u w:val="single"/>
          <w:lang w:eastAsia="zh-CN"/>
          <w14:textFill>
            <w14:solidFill>
              <w14:schemeClr w14:val="tx1"/>
            </w14:solidFill>
          </w14:textFill>
        </w:rPr>
      </w:pPr>
      <w:r>
        <w:rPr>
          <w:rFonts w:ascii="宋体" w:hAnsi="宋体" w:cs="宋体"/>
          <w:b/>
          <w:color w:val="000000" w:themeColor="text1"/>
          <w:sz w:val="24"/>
          <w:szCs w:val="24"/>
          <w:highlight w:val="none"/>
          <w:u w:val="single"/>
          <w:lang w:eastAsia="zh-CN"/>
          <w14:textFill>
            <w14:solidFill>
              <w14:schemeClr w14:val="tx1"/>
            </w14:solidFill>
          </w14:textFill>
        </w:rPr>
      </w:r>
      <w:r/>
    </w:p>
    <w:p>
      <w:pPr>
        <w:pStyle w:val="882"/>
        <w:ind w:firstLine="480"/>
        <w:spacing w:before="57" w:line="400" w:lineRule="exact"/>
        <w:rPr>
          <w:rFonts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根据《中华人民共和国民法典》、《中华人民共和国建筑法》及有关法律规定，遵循平等、自愿、公平和诚实信用的原则，双方就</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                                   项目 </w:t>
      </w:r>
      <w:r>
        <w:rPr>
          <w:rFonts w:hint="eastAsia" w:ascii="宋体" w:hAnsi="宋体" w:cs="宋体"/>
          <w:color w:val="000000" w:themeColor="text1"/>
          <w:sz w:val="24"/>
          <w:szCs w:val="24"/>
          <w:highlight w:val="none"/>
          <w:lang w:eastAsia="zh-CN"/>
          <w14:textFill>
            <w14:solidFill>
              <w14:schemeClr w14:val="tx1"/>
            </w14:solidFill>
          </w14:textFill>
        </w:rPr>
        <w:t xml:space="preserve">施工及有关事项协商一致，共同达成如下协议：</w:t>
      </w:r>
      <w:r/>
    </w:p>
    <w:p>
      <w:pPr>
        <w:pStyle w:val="849"/>
        <w:ind w:firstLine="482"/>
        <w:spacing w:before="57" w:after="0" w:line="400" w:lineRule="exact"/>
        <w:rPr>
          <w:rFonts w:ascii="宋体" w:hAnsi="宋体" w:eastAsia="宋体" w:cs="宋体"/>
          <w:bCs w:val="0"/>
          <w:color w:val="000000" w:themeColor="text1"/>
          <w:sz w:val="24"/>
          <w:szCs w:val="24"/>
          <w:highlight w:val="none"/>
          <w:lang w:eastAsia="zh-CN"/>
          <w14:textFill>
            <w14:solidFill>
              <w14:schemeClr w14:val="tx1"/>
            </w14:solidFill>
          </w14:textFill>
        </w:rPr>
      </w:pPr>
      <w:r/>
      <w:bookmarkStart w:id="287" w:name="_Toc351203481"/>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一、工程概况</w:t>
      </w:r>
      <w:bookmarkEnd w:id="287"/>
      <w:r/>
      <w:r/>
    </w:p>
    <w:p>
      <w:pPr>
        <w:pStyle w:val="882"/>
        <w:ind w:firstLine="480"/>
        <w:spacing w:before="57" w:line="400" w:lineRule="exact"/>
        <w:rPr>
          <w:rFonts w:ascii="宋体" w:hAnsi="宋体" w:cs="宋体"/>
          <w:color w:val="000000" w:themeColor="text1"/>
          <w:sz w:val="24"/>
          <w:szCs w:val="24"/>
          <w:highlight w:val="none"/>
          <w:u w:val="singl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1.工程名称：</w:t>
      </w:r>
      <w:r>
        <w:rPr>
          <w:rFonts w:hint="eastAsia" w:ascii="宋体" w:hAnsi="宋体" w:cs="宋体"/>
          <w:bCs/>
          <w:color w:val="000000" w:themeColor="text1"/>
          <w:sz w:val="24"/>
          <w:szCs w:val="24"/>
          <w:highlight w:val="none"/>
          <w:u w:val="single"/>
          <w:lang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              </w:t>
      </w:r>
      <w:r>
        <w:rPr>
          <w:rFonts w:hint="eastAsia" w:ascii="宋体" w:hAnsi="宋体" w:cs="宋体"/>
          <w:color w:val="000000" w:themeColor="text1"/>
          <w:sz w:val="24"/>
          <w:szCs w:val="24"/>
          <w:highlight w:val="none"/>
          <w:lang w:eastAsia="zh-CN"/>
          <w14:textFill>
            <w14:solidFill>
              <w14:schemeClr w14:val="tx1"/>
            </w14:solidFill>
          </w14:textFill>
        </w:rPr>
        <w:t xml:space="preserve"> ；</w:t>
      </w:r>
      <w:r/>
    </w:p>
    <w:p>
      <w:pPr>
        <w:ind w:firstLine="480"/>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2.工程地点：</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w:t>
      </w:r>
      <w:r/>
    </w:p>
    <w:p>
      <w:pPr>
        <w:ind w:firstLine="480"/>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3.资金来源：</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4.工程内容：</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项目</w:t>
      </w:r>
      <w:r>
        <w:rPr>
          <w:rFonts w:hint="eastAsia" w:ascii="宋体" w:hAnsi="宋体" w:cs="宋体"/>
          <w:bCs/>
          <w:color w:val="000000" w:themeColor="text1"/>
          <w:sz w:val="24"/>
          <w:highlight w:val="none"/>
          <w:u w:val="single"/>
          <w14:textFill>
            <w14:solidFill>
              <w14:schemeClr w14:val="tx1"/>
            </w14:solidFill>
          </w14:textFill>
        </w:rPr>
        <w:t xml:space="preserve">，具体内容详见招标文件及工程量清单</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5.工程承包范围：</w:t>
      </w:r>
      <w:r>
        <w:rPr>
          <w:rFonts w:hint="eastAsia" w:ascii="宋体" w:hAnsi="宋体" w:cs="宋体"/>
          <w:bCs/>
          <w:color w:val="000000" w:themeColor="text1"/>
          <w:sz w:val="24"/>
          <w:highlight w:val="none"/>
          <w:u w:val="single"/>
          <w14:textFill>
            <w14:solidFill>
              <w14:schemeClr w14:val="tx1"/>
            </w14:solidFill>
          </w14:textFill>
        </w:rPr>
        <w:t xml:space="preserve"> 详见招标文件及工程量清单 </w:t>
      </w:r>
      <w:r>
        <w:rPr>
          <w:rFonts w:hint="eastAsia" w:ascii="宋体" w:hAnsi="宋体" w:cs="宋体"/>
          <w:bCs/>
          <w:color w:val="000000" w:themeColor="text1"/>
          <w:sz w:val="24"/>
          <w:highlight w:val="none"/>
          <w14:textFill>
            <w14:solidFill>
              <w14:schemeClr w14:val="tx1"/>
            </w14:solidFill>
          </w14:textFill>
        </w:rPr>
        <w:t xml:space="preserve">。</w:t>
      </w:r>
      <w:r/>
    </w:p>
    <w:p>
      <w:pPr>
        <w:pStyle w:val="849"/>
        <w:ind w:firstLine="482"/>
        <w:spacing w:before="57" w:after="0" w:line="400" w:lineRule="exact"/>
        <w:rPr>
          <w:rFonts w:ascii="宋体" w:hAnsi="宋体" w:eastAsia="宋体" w:cs="宋体"/>
          <w:bCs w:val="0"/>
          <w:color w:val="000000" w:themeColor="text1"/>
          <w:sz w:val="24"/>
          <w:szCs w:val="24"/>
          <w:highlight w:val="none"/>
          <w:lang w:eastAsia="zh-CN"/>
          <w14:textFill>
            <w14:solidFill>
              <w14:schemeClr w14:val="tx1"/>
            </w14:solidFill>
          </w14:textFill>
        </w:rPr>
      </w:pPr>
      <w:r/>
      <w:bookmarkStart w:id="288" w:name="_Toc351203482"/>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二、合同工期</w:t>
      </w:r>
      <w:bookmarkEnd w:id="288"/>
      <w:r/>
      <w:r/>
    </w:p>
    <w:p>
      <w:pPr>
        <w:ind w:firstLine="480"/>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计划开工日期：</w:t>
      </w:r>
      <w:r>
        <w:rPr>
          <w:rFonts w:hint="eastAsia" w:ascii="宋体" w:hAnsi="宋体" w:cs="宋体"/>
          <w:bCs/>
          <w:color w:val="000000" w:themeColor="text1"/>
          <w:sz w:val="24"/>
          <w:highlight w:val="none"/>
          <w:u w:val="single"/>
          <w14:textFill>
            <w14:solidFill>
              <w14:schemeClr w14:val="tx1"/>
            </w14:solidFill>
          </w14:textFill>
        </w:rPr>
        <w:t xml:space="preserve">     年   月   日 </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计划竣工日期：</w:t>
      </w:r>
      <w:r>
        <w:rPr>
          <w:rFonts w:hint="eastAsia" w:ascii="宋体" w:hAnsi="宋体" w:cs="宋体"/>
          <w:bCs/>
          <w:color w:val="000000" w:themeColor="text1"/>
          <w:sz w:val="24"/>
          <w:highlight w:val="none"/>
          <w:u w:val="single"/>
          <w14:textFill>
            <w14:solidFill>
              <w14:schemeClr w14:val="tx1"/>
            </w14:solidFill>
          </w14:textFill>
        </w:rPr>
        <w:t xml:space="preserve">     年   月   日 </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工期总日历天数：</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天。工期总日历天数与根据前述计划开竣工日期计算的工期天数不一致的，以工期总日历天数为准。</w:t>
      </w:r>
      <w:r/>
    </w:p>
    <w:p>
      <w:pPr>
        <w:pStyle w:val="849"/>
        <w:ind w:firstLine="482"/>
        <w:spacing w:before="57" w:after="0" w:line="400" w:lineRule="exact"/>
        <w:rPr>
          <w:rFonts w:ascii="宋体" w:hAnsi="宋体" w:eastAsia="宋体" w:cs="宋体"/>
          <w:bCs w:val="0"/>
          <w:color w:val="000000" w:themeColor="text1"/>
          <w:sz w:val="24"/>
          <w:szCs w:val="24"/>
          <w:highlight w:val="none"/>
          <w:lang w:eastAsia="zh-CN"/>
          <w14:textFill>
            <w14:solidFill>
              <w14:schemeClr w14:val="tx1"/>
            </w14:solidFill>
          </w14:textFill>
        </w:rPr>
      </w:pPr>
      <w:r/>
      <w:bookmarkStart w:id="289" w:name="_Toc351203483"/>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三、质量标准</w:t>
      </w:r>
      <w:bookmarkEnd w:id="289"/>
      <w:r/>
      <w:r/>
    </w:p>
    <w:p>
      <w:pPr>
        <w:ind w:firstLine="480"/>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工程质量符合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国家质量验收合格及工程设计、施工方案、合同要求 </w:t>
      </w:r>
      <w:r>
        <w:rPr>
          <w:rFonts w:hint="eastAsia" w:ascii="宋体" w:hAnsi="宋体" w:cs="宋体"/>
          <w:color w:val="000000" w:themeColor="text1"/>
          <w:sz w:val="24"/>
          <w:highlight w:val="none"/>
          <w14:textFill>
            <w14:solidFill>
              <w14:schemeClr w14:val="tx1"/>
            </w14:solidFill>
          </w14:textFill>
        </w:rPr>
        <w:t xml:space="preserve">标准。</w:t>
      </w:r>
      <w:r/>
    </w:p>
    <w:p>
      <w:pPr>
        <w:pStyle w:val="849"/>
        <w:ind w:firstLine="482"/>
        <w:spacing w:before="57" w:after="0" w:line="400" w:lineRule="exact"/>
        <w:rPr>
          <w:rFonts w:ascii="宋体" w:hAnsi="宋体" w:eastAsia="宋体" w:cs="宋体"/>
          <w:bCs w:val="0"/>
          <w:color w:val="000000" w:themeColor="text1"/>
          <w:sz w:val="24"/>
          <w:szCs w:val="24"/>
          <w:highlight w:val="none"/>
          <w:lang w:eastAsia="zh-CN"/>
          <w14:textFill>
            <w14:solidFill>
              <w14:schemeClr w14:val="tx1"/>
            </w14:solidFill>
          </w14:textFill>
        </w:rPr>
      </w:pPr>
      <w:r/>
      <w:bookmarkStart w:id="290" w:name="_Toc351203484"/>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四、签约合同价与合同价格形式</w:t>
      </w:r>
      <w:bookmarkEnd w:id="290"/>
      <w:r>
        <w:rPr>
          <w:rFonts w:hint="eastAsia" w:ascii="宋体" w:hAnsi="宋体" w:eastAsia="宋体" w:cs="宋体"/>
          <w:bCs w:val="0"/>
          <w:color w:val="000000" w:themeColor="text1"/>
          <w:sz w:val="24"/>
          <w:szCs w:val="24"/>
          <w:highlight w:val="none"/>
          <w:lang w:eastAsia="zh-CN"/>
          <w14:textFill>
            <w14:solidFill>
              <w14:schemeClr w14:val="tx1"/>
            </w14:solidFill>
          </w14:textFill>
        </w:rPr>
        <w:tab/>
      </w:r>
      <w:r/>
    </w:p>
    <w:p>
      <w:pPr>
        <w:ind w:firstLine="480"/>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1.签约合同价为：</w:t>
      </w:r>
      <w:r>
        <w:rPr>
          <w:rFonts w:hint="eastAsia" w:ascii="宋体" w:hAnsi="宋体" w:cs="宋体"/>
          <w:color w:val="000000" w:themeColor="text1"/>
          <w:sz w:val="24"/>
          <w:highlight w:val="none"/>
          <w14:textFill>
            <w14:solidFill>
              <w14:schemeClr w14:val="tx1"/>
            </w14:solidFill>
          </w14:textFill>
        </w:rPr>
        <w:t xml:space="preserve">人民币（大写）：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元)；</w:t>
      </w:r>
      <w:r/>
    </w:p>
    <w:p>
      <w:pPr>
        <w:ind w:firstLine="480"/>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2.合同价格形式：</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单价合同。双方商定本合同价款采用固定综合单价的计价方式，工程量按实结算，风险费已包含在报价中，综合单价不因任何风险因素而调整。</w:t>
      </w:r>
      <w:r/>
    </w:p>
    <w:p>
      <w:pPr>
        <w:ind w:firstLine="480"/>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合同以外价款（工程量清单漏项或设计变更引起的工程量清单项目）的调整方法为工程量清单中有的项目（项目特征相同）按投标报价的综合单价计算；投标报价中没有综合单价的新的工程量清单项目，按照《建设工程工程量清单计价规范》《江苏省建筑与装饰工程计价表》中的人工、各种主辅材、机械台班耗用量、投标报价时的人工、机械台班单价、管理费、利润等费用标准及各种主辅材价格（无投标价的按市场价）计算，其相应综合单价及市场价由乙方按让利后提出，经甲方确认后报甲方安排的审计部门核定）。</w:t>
      </w:r>
      <w:r/>
    </w:p>
    <w:p>
      <w:pPr>
        <w:pStyle w:val="849"/>
        <w:ind w:firstLine="482"/>
        <w:spacing w:before="57" w:after="0" w:line="400" w:lineRule="exact"/>
        <w:rPr>
          <w:rFonts w:ascii="宋体" w:hAnsi="宋体" w:eastAsia="宋体" w:cs="宋体"/>
          <w:bCs w:val="0"/>
          <w:color w:val="000000" w:themeColor="text1"/>
          <w:sz w:val="24"/>
          <w:szCs w:val="24"/>
          <w:highlight w:val="none"/>
          <w:lang w:eastAsia="zh-CN"/>
          <w14:textFill>
            <w14:solidFill>
              <w14:schemeClr w14:val="tx1"/>
            </w14:solidFill>
          </w14:textFill>
        </w:rPr>
      </w:pPr>
      <w:r/>
      <w:bookmarkStart w:id="291" w:name="_Toc351203485"/>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五、</w:t>
      </w:r>
      <w:bookmarkEnd w:id="291"/>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项目经理</w:t>
      </w:r>
      <w:r/>
    </w:p>
    <w:p>
      <w:pPr>
        <w:ind w:firstLine="480"/>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承包人项目经理：</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849"/>
        <w:ind w:firstLine="482"/>
        <w:spacing w:before="57" w:after="0" w:line="400" w:lineRule="exact"/>
        <w:rPr>
          <w:rFonts w:ascii="宋体" w:hAnsi="宋体" w:eastAsia="宋体" w:cs="宋体"/>
          <w:bCs w:val="0"/>
          <w:color w:val="000000" w:themeColor="text1"/>
          <w:sz w:val="24"/>
          <w:szCs w:val="24"/>
          <w:highlight w:val="none"/>
          <w:lang w:eastAsia="zh-CN"/>
          <w14:textFill>
            <w14:solidFill>
              <w14:schemeClr w14:val="tx1"/>
            </w14:solidFill>
          </w14:textFill>
        </w:rPr>
      </w:pPr>
      <w:r/>
      <w:bookmarkStart w:id="292" w:name="_Toc351203486"/>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六、合同文件构成</w:t>
      </w:r>
      <w:bookmarkEnd w:id="292"/>
      <w:r/>
      <w:r/>
    </w:p>
    <w:p>
      <w:pPr>
        <w:ind w:firstLine="480"/>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本协议书与下列文件一起构成合同文件：</w:t>
      </w:r>
      <w:r/>
    </w:p>
    <w:p>
      <w:pPr>
        <w:ind w:firstLine="480"/>
        <w:jc w:val="left"/>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（1）中标通知书（如果有）；</w:t>
      </w:r>
      <w:r/>
    </w:p>
    <w:p>
      <w:pPr>
        <w:ind w:firstLine="480"/>
        <w:jc w:val="left"/>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（2）投标函及其附录（如果有）； </w:t>
      </w:r>
      <w:r/>
    </w:p>
    <w:p>
      <w:pPr>
        <w:ind w:firstLine="480"/>
        <w:jc w:val="left"/>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（3）专用合同条款及其附件；</w:t>
      </w:r>
      <w:r/>
    </w:p>
    <w:p>
      <w:pPr>
        <w:ind w:firstLine="480"/>
        <w:jc w:val="left"/>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（4）通用合同条款；</w:t>
      </w:r>
      <w:r/>
    </w:p>
    <w:p>
      <w:pPr>
        <w:ind w:firstLine="480"/>
        <w:jc w:val="left"/>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（5）技术标准和要求；</w:t>
      </w:r>
      <w:r/>
    </w:p>
    <w:p>
      <w:pPr>
        <w:ind w:firstLine="480"/>
        <w:jc w:val="left"/>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（6）图纸；</w:t>
      </w:r>
      <w:r/>
    </w:p>
    <w:p>
      <w:pPr>
        <w:ind w:firstLine="480"/>
        <w:jc w:val="left"/>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（7）已标价工程量清单或预算书；</w:t>
      </w:r>
      <w:r/>
    </w:p>
    <w:p>
      <w:pPr>
        <w:ind w:firstLine="480"/>
        <w:jc w:val="left"/>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（8）其他合同文件。</w:t>
      </w:r>
      <w:r/>
    </w:p>
    <w:p>
      <w:pPr>
        <w:ind w:firstLine="480"/>
        <w:jc w:val="left"/>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在合同订立及履行过程中形成的与合同有关的文件均构成合同文件组成部分。</w:t>
      </w:r>
      <w:r/>
    </w:p>
    <w:p>
      <w:pPr>
        <w:ind w:firstLine="480"/>
        <w:jc w:val="left"/>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r/>
    </w:p>
    <w:p>
      <w:pPr>
        <w:pStyle w:val="849"/>
        <w:ind w:firstLine="482"/>
        <w:spacing w:before="57" w:after="0" w:line="400" w:lineRule="exact"/>
        <w:rPr>
          <w:rFonts w:ascii="宋体" w:hAnsi="宋体" w:eastAsia="宋体" w:cs="宋体"/>
          <w:bCs w:val="0"/>
          <w:color w:val="000000" w:themeColor="text1"/>
          <w:sz w:val="24"/>
          <w:szCs w:val="24"/>
          <w:highlight w:val="none"/>
          <w:lang w:eastAsia="zh-CN"/>
          <w14:textFill>
            <w14:solidFill>
              <w14:schemeClr w14:val="tx1"/>
            </w14:solidFill>
          </w14:textFill>
        </w:rPr>
      </w:pPr>
      <w:r/>
      <w:bookmarkStart w:id="293" w:name="_Toc351203487"/>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七、承诺</w:t>
      </w:r>
      <w:bookmarkEnd w:id="293"/>
      <w:r/>
      <w:r/>
    </w:p>
    <w:p>
      <w:pPr>
        <w:ind w:firstLine="480"/>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1.发包人承诺按照法律规定履行项目审批手续、筹集工程建设资金并按照合同约定的期限和方式支付合同价款。</w:t>
      </w:r>
      <w:r/>
    </w:p>
    <w:p>
      <w:pPr>
        <w:ind w:firstLine="480"/>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480"/>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3.发包人和承包人通过招投标形式签订合同的，双方理解并承诺不再就同一工程另行签订与合同实质性内容相背离的协议。</w:t>
      </w:r>
      <w:r/>
    </w:p>
    <w:p>
      <w:pPr>
        <w:ind w:firstLine="482"/>
        <w:spacing w:before="57" w:line="400" w:lineRule="exact"/>
        <w:rPr>
          <w:rFonts w:ascii="宋体" w:hAnsi="宋体" w:cs="宋体"/>
          <w:b/>
          <w:bCs/>
          <w:color w:val="000000" w:themeColor="text1"/>
          <w:sz w:val="24"/>
          <w:highlight w:val="none"/>
          <w14:textFill>
            <w14:solidFill>
              <w14:schemeClr w14:val="tx1"/>
            </w14:solidFill>
          </w14:textFill>
        </w:rPr>
      </w:pPr>
      <w:r/>
      <w:bookmarkStart w:id="294" w:name="_Toc351203488"/>
      <w:r>
        <w:rPr>
          <w:rFonts w:hint="eastAsia" w:ascii="宋体" w:hAnsi="宋体" w:cs="宋体"/>
          <w:b/>
          <w:bCs/>
          <w:color w:val="000000" w:themeColor="text1"/>
          <w:sz w:val="24"/>
          <w:highlight w:val="none"/>
          <w14:textFill>
            <w14:solidFill>
              <w14:schemeClr w14:val="tx1"/>
            </w14:solidFill>
          </w14:textFill>
        </w:rPr>
        <w:t xml:space="preserve">八、词语含义</w:t>
      </w:r>
      <w:bookmarkEnd w:id="294"/>
      <w:r/>
      <w:r/>
    </w:p>
    <w:p>
      <w:pPr>
        <w:ind w:firstLine="480"/>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本协议书中词语含义与第二部分通用合同条款中赋予的含义相同。</w:t>
      </w:r>
      <w:r/>
    </w:p>
    <w:p>
      <w:pPr>
        <w:pStyle w:val="849"/>
        <w:ind w:firstLine="482"/>
        <w:spacing w:before="57" w:after="0" w:line="400" w:lineRule="exact"/>
        <w:rPr>
          <w:rFonts w:ascii="宋体" w:hAnsi="宋体" w:eastAsia="宋体" w:cs="宋体"/>
          <w:bCs w:val="0"/>
          <w:color w:val="000000" w:themeColor="text1"/>
          <w:sz w:val="24"/>
          <w:szCs w:val="24"/>
          <w:highlight w:val="none"/>
          <w:lang w:eastAsia="zh-CN"/>
          <w14:textFill>
            <w14:solidFill>
              <w14:schemeClr w14:val="tx1"/>
            </w14:solidFill>
          </w14:textFill>
        </w:rPr>
      </w:pPr>
      <w:r/>
      <w:bookmarkStart w:id="295" w:name="_Toc351203489"/>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九、签订时间</w:t>
      </w:r>
      <w:bookmarkEnd w:id="295"/>
      <w:r/>
      <w:r/>
    </w:p>
    <w:p>
      <w:pPr>
        <w:ind w:firstLine="480"/>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本合同于</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年</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月</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日签订。</w:t>
      </w:r>
      <w:r/>
    </w:p>
    <w:p>
      <w:pPr>
        <w:pStyle w:val="849"/>
        <w:ind w:firstLine="482"/>
        <w:spacing w:before="57" w:after="0" w:line="400" w:lineRule="exact"/>
        <w:rPr>
          <w:rFonts w:ascii="宋体" w:hAnsi="宋体" w:eastAsia="宋体" w:cs="宋体"/>
          <w:bCs w:val="0"/>
          <w:color w:val="000000" w:themeColor="text1"/>
          <w:sz w:val="24"/>
          <w:szCs w:val="24"/>
          <w:highlight w:val="none"/>
          <w:lang w:eastAsia="zh-CN"/>
          <w14:textFill>
            <w14:solidFill>
              <w14:schemeClr w14:val="tx1"/>
            </w14:solidFill>
          </w14:textFill>
        </w:rPr>
      </w:pPr>
      <w:r/>
      <w:bookmarkStart w:id="296" w:name="_Toc351203490"/>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十、签订地点</w:t>
      </w:r>
      <w:bookmarkEnd w:id="296"/>
      <w:r/>
      <w:r/>
    </w:p>
    <w:p>
      <w:pPr>
        <w:ind w:firstLine="480"/>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本合同在</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签订。</w:t>
      </w:r>
      <w:r/>
    </w:p>
    <w:p>
      <w:pPr>
        <w:pStyle w:val="849"/>
        <w:ind w:firstLine="482"/>
        <w:spacing w:before="57" w:after="0" w:line="400" w:lineRule="exact"/>
        <w:rPr>
          <w:rFonts w:ascii="宋体" w:hAnsi="宋体" w:eastAsia="宋体" w:cs="宋体"/>
          <w:bCs w:val="0"/>
          <w:color w:val="000000" w:themeColor="text1"/>
          <w:sz w:val="24"/>
          <w:szCs w:val="24"/>
          <w:highlight w:val="none"/>
          <w:lang w:eastAsia="zh-CN"/>
          <w14:textFill>
            <w14:solidFill>
              <w14:schemeClr w14:val="tx1"/>
            </w14:solidFill>
          </w14:textFill>
        </w:rPr>
      </w:pPr>
      <w:r/>
      <w:bookmarkStart w:id="297" w:name="_Toc351203491"/>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十一、补充协议</w:t>
      </w:r>
      <w:bookmarkEnd w:id="297"/>
      <w:r/>
      <w:r/>
    </w:p>
    <w:p>
      <w:pPr>
        <w:ind w:firstLine="480"/>
        <w:spacing w:before="57"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合同未尽事宜，合同当事人另行签订补充协议，补充协议是合同的组成部分。</w:t>
      </w:r>
      <w:r/>
    </w:p>
    <w:p>
      <w:pPr>
        <w:pStyle w:val="849"/>
        <w:ind w:firstLine="482"/>
        <w:spacing w:before="57" w:after="0" w:line="400" w:lineRule="exact"/>
        <w:rPr>
          <w:rFonts w:ascii="宋体" w:hAnsi="宋体" w:eastAsia="宋体" w:cs="宋体"/>
          <w:bCs w:val="0"/>
          <w:color w:val="000000" w:themeColor="text1"/>
          <w:sz w:val="24"/>
          <w:szCs w:val="24"/>
          <w:highlight w:val="none"/>
          <w:lang w:eastAsia="zh-CN"/>
          <w14:textFill>
            <w14:solidFill>
              <w14:schemeClr w14:val="tx1"/>
            </w14:solidFill>
          </w14:textFill>
        </w:rPr>
      </w:pPr>
      <w:r/>
      <w:bookmarkStart w:id="298" w:name="_Toc351203492"/>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十二、合同生效</w:t>
      </w:r>
      <w:bookmarkEnd w:id="298"/>
      <w:r/>
      <w:r/>
    </w:p>
    <w:p>
      <w:pPr>
        <w:ind w:firstLine="480"/>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本合同自</w:t>
      </w:r>
      <w:r>
        <w:rPr>
          <w:rFonts w:hint="eastAsia" w:ascii="宋体" w:hAnsi="宋体" w:cs="宋体"/>
          <w:bCs/>
          <w:color w:val="000000" w:themeColor="text1"/>
          <w:sz w:val="24"/>
          <w:highlight w:val="none"/>
          <w:u w:val="single"/>
          <w14:textFill>
            <w14:solidFill>
              <w14:schemeClr w14:val="tx1"/>
            </w14:solidFill>
          </w14:textFill>
        </w:rPr>
        <w:t xml:space="preserve">   双方签字盖章后  </w:t>
      </w:r>
      <w:r>
        <w:rPr>
          <w:rFonts w:hint="eastAsia" w:ascii="宋体" w:hAnsi="宋体" w:cs="宋体"/>
          <w:bCs/>
          <w:color w:val="000000" w:themeColor="text1"/>
          <w:sz w:val="24"/>
          <w:highlight w:val="none"/>
          <w14:textFill>
            <w14:solidFill>
              <w14:schemeClr w14:val="tx1"/>
            </w14:solidFill>
          </w14:textFill>
        </w:rPr>
        <w:t xml:space="preserve">生效。</w:t>
      </w:r>
      <w:r/>
    </w:p>
    <w:p>
      <w:pPr>
        <w:pStyle w:val="849"/>
        <w:ind w:firstLine="482"/>
        <w:spacing w:before="57" w:after="0" w:line="400" w:lineRule="exact"/>
        <w:rPr>
          <w:rFonts w:ascii="宋体" w:hAnsi="宋体" w:eastAsia="宋体" w:cs="宋体"/>
          <w:bCs w:val="0"/>
          <w:color w:val="000000" w:themeColor="text1"/>
          <w:sz w:val="24"/>
          <w:szCs w:val="24"/>
          <w:highlight w:val="none"/>
          <w:lang w:eastAsia="zh-CN"/>
          <w14:textFill>
            <w14:solidFill>
              <w14:schemeClr w14:val="tx1"/>
            </w14:solidFill>
          </w14:textFill>
        </w:rPr>
      </w:pPr>
      <w:r/>
      <w:bookmarkStart w:id="299" w:name="_Toc351203493"/>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十三、合同份数</w:t>
      </w:r>
      <w:bookmarkEnd w:id="299"/>
      <w:r/>
      <w:r/>
    </w:p>
    <w:p>
      <w:pPr>
        <w:ind w:firstLine="480"/>
        <w:spacing w:before="57"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本合同一式</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份，均具有同等法律效力，发包人执</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份，承包人执</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份。</w:t>
      </w:r>
      <w:r/>
    </w:p>
    <w:p>
      <w:pPr>
        <w:ind w:firstLine="480"/>
        <w:spacing w:before="57"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before="57"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发包人：(公章)                    承包人： (公章)</w:t>
      </w:r>
      <w:r/>
    </w:p>
    <w:p>
      <w:pPr>
        <w:ind w:firstLine="480"/>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480"/>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法定代表人或其委托代理人：          法定代表人或其委托代理人：</w:t>
      </w:r>
      <w:r/>
    </w:p>
    <w:p>
      <w:pPr>
        <w:ind w:firstLine="480"/>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（签字）                           （签字）</w:t>
      </w:r>
      <w:r/>
    </w:p>
    <w:p>
      <w:pPr>
        <w:ind w:firstLine="480"/>
        <w:spacing w:before="57" w:line="400" w:lineRule="exact"/>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p>
      <w:pPr>
        <w:ind w:firstLine="480"/>
        <w:spacing w:before="57" w:line="400" w:lineRule="exact"/>
        <w:tabs>
          <w:tab w:val="left" w:pos="441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组织机构代码：                      组织机构代码：</w:t>
      </w:r>
      <w:r/>
    </w:p>
    <w:p>
      <w:pPr>
        <w:ind w:firstLine="480"/>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                            地  址：</w:t>
      </w:r>
      <w:r/>
    </w:p>
    <w:p>
      <w:pPr>
        <w:ind w:firstLine="480"/>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邮政编码：                          邮政编码：</w:t>
      </w:r>
      <w:r/>
    </w:p>
    <w:p>
      <w:pPr>
        <w:ind w:firstLine="480"/>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                        法定代表人：</w:t>
      </w:r>
      <w:r/>
    </w:p>
    <w:p>
      <w:pPr>
        <w:ind w:firstLine="480"/>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委托代理人：                        委托代理人：</w:t>
      </w:r>
      <w:r/>
    </w:p>
    <w:p>
      <w:pPr>
        <w:ind w:firstLine="480"/>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  话：                            电  话：</w:t>
      </w:r>
      <w:r/>
    </w:p>
    <w:p>
      <w:pPr>
        <w:ind w:firstLine="480"/>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  真：</w:t>
      </w: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传  真：</w:t>
      </w:r>
      <w:r/>
    </w:p>
    <w:p>
      <w:pPr>
        <w:ind w:firstLine="480"/>
        <w:spacing w:before="57" w:line="400" w:lineRule="exact"/>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电子信箱：                          电子信箱：</w:t>
      </w:r>
      <w:r/>
    </w:p>
    <w:p>
      <w:pPr>
        <w:ind w:firstLine="480"/>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                          开户银行：</w:t>
      </w:r>
      <w:r/>
    </w:p>
    <w:p>
      <w:pPr>
        <w:ind w:firstLine="480"/>
        <w:spacing w:before="57"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账  号：                            账  号：</w:t>
      </w:r>
      <w:r/>
    </w:p>
    <w:p>
      <w:pPr>
        <w:pStyle w:val="846"/>
        <w:spacing w:before="286" w:after="143" w:line="400" w:lineRule="exact"/>
        <w:rPr>
          <w:rFonts w:ascii="宋体" w:hAnsi="宋体" w:eastAsia="宋体" w:cs="宋体"/>
          <w:b w:val="0"/>
          <w:color w:val="000000" w:themeColor="text1"/>
          <w:sz w:val="32"/>
          <w:szCs w:val="32"/>
          <w:highlight w:val="none"/>
          <w:lang w:eastAsia="zh-CN"/>
          <w14:textFill>
            <w14:solidFill>
              <w14:schemeClr w14:val="tx1"/>
            </w14:solidFill>
          </w14:textFill>
        </w:rPr>
      </w:pPr>
      <w:r>
        <w:rPr>
          <w:rFonts w:hint="eastAsia" w:ascii="宋体" w:hAnsi="宋体" w:eastAsia="宋体" w:cs="宋体"/>
          <w:b w:val="0"/>
          <w:color w:val="000000" w:themeColor="text1"/>
          <w:szCs w:val="44"/>
          <w:highlight w:val="none"/>
          <w:lang w:eastAsia="zh-CN"/>
          <w14:textFill>
            <w14:solidFill>
              <w14:schemeClr w14:val="tx1"/>
            </w14:solidFill>
          </w14:textFill>
        </w:rPr>
        <w:br w:type="page" w:clear="all"/>
      </w:r>
      <w:bookmarkStart w:id="300" w:name="_Toc351203494"/>
      <w:r/>
      <w:bookmarkStart w:id="301" w:name="_Toc22914125"/>
      <w:r/>
      <w:bookmarkStart w:id="302" w:name="_Toc38273915"/>
      <w:r>
        <w:rPr>
          <w:rFonts w:hint="eastAsia" w:ascii="宋体" w:hAnsi="宋体" w:eastAsia="宋体" w:cs="宋体"/>
          <w:bCs/>
          <w:color w:val="000000" w:themeColor="text1"/>
          <w:sz w:val="32"/>
          <w:szCs w:val="32"/>
          <w:highlight w:val="none"/>
          <w:lang w:eastAsia="zh-CN"/>
          <w14:textFill>
            <w14:solidFill>
              <w14:schemeClr w14:val="tx1"/>
            </w14:solidFill>
          </w14:textFill>
        </w:rPr>
        <w:t xml:space="preserve">第二部分 通用合同条款</w:t>
      </w:r>
      <w:bookmarkEnd w:id="300"/>
      <w:r/>
      <w:bookmarkEnd w:id="301"/>
      <w:r/>
      <w:bookmarkEnd w:id="302"/>
      <w:r/>
      <w:bookmarkStart w:id="303" w:name="_Toc337558727"/>
      <w:r/>
      <w:r/>
    </w:p>
    <w:p>
      <w:pPr>
        <w:pStyle w:val="972"/>
        <w:ind w:firstLine="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pStyle w:val="972"/>
        <w:ind w:firstLine="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详见《建设工程施工合同》示范文本（GF—2017—0201）中《第二部分 通用合同条款》。</w:t>
      </w:r>
      <w:bookmarkEnd w:id="303"/>
      <w:r/>
    </w:p>
    <w:p>
      <w:pPr>
        <w:jc w:val="left"/>
        <w:widowControl/>
        <w:rPr>
          <w:rFonts w:ascii="宋体" w:hAnsi="宋体" w:cs="宋体"/>
          <w:bCs/>
          <w:color w:val="000000" w:themeColor="text1"/>
          <w:sz w:val="32"/>
          <w:szCs w:val="32"/>
          <w:highlight w:val="none"/>
          <w14:textFill>
            <w14:solidFill>
              <w14:schemeClr w14:val="tx1"/>
            </w14:solidFill>
          </w14:textFill>
        </w:rPr>
      </w:pPr>
      <w:r/>
      <w:bookmarkStart w:id="304" w:name="_Toc38273916"/>
      <w:r/>
      <w:bookmarkStart w:id="305" w:name="_Toc351203632"/>
      <w:r/>
      <w:bookmarkStart w:id="306" w:name="_Toc22914126"/>
      <w:r/>
      <w:r/>
    </w:p>
    <w:p>
      <w:pPr>
        <w:pStyle w:val="846"/>
        <w:spacing w:before="286" w:after="143" w:line="400" w:lineRule="exact"/>
        <w:rPr>
          <w:rFonts w:ascii="宋体" w:hAnsi="宋体" w:eastAsia="宋体" w:cs="宋体"/>
          <w:bCs/>
          <w:color w:val="000000" w:themeColor="text1"/>
          <w:sz w:val="32"/>
          <w:szCs w:val="32"/>
          <w:highlight w:val="none"/>
          <w:lang w:eastAsia="zh-CN"/>
          <w14:textFill>
            <w14:solidFill>
              <w14:schemeClr w14:val="tx1"/>
            </w14:solidFill>
          </w14:textFill>
        </w:rPr>
      </w:pPr>
      <w:r>
        <w:rPr>
          <w:rFonts w:hint="eastAsia" w:ascii="宋体" w:hAnsi="宋体" w:eastAsia="宋体" w:cs="宋体"/>
          <w:bCs/>
          <w:color w:val="000000" w:themeColor="text1"/>
          <w:sz w:val="32"/>
          <w:szCs w:val="32"/>
          <w:highlight w:val="none"/>
          <w:lang w:eastAsia="zh-CN"/>
          <w14:textFill>
            <w14:solidFill>
              <w14:schemeClr w14:val="tx1"/>
            </w14:solidFill>
          </w14:textFill>
        </w:rPr>
        <w:t xml:space="preserve">第三部分 专用合同条款</w:t>
      </w:r>
      <w:bookmarkEnd w:id="304"/>
      <w:r/>
      <w:bookmarkEnd w:id="305"/>
      <w:r/>
      <w:bookmarkEnd w:id="306"/>
      <w:r/>
      <w:r/>
    </w:p>
    <w:p>
      <w:pPr>
        <w:pStyle w:val="849"/>
        <w:ind w:firstLine="482"/>
        <w:spacing w:before="0" w:after="0" w:line="300" w:lineRule="auto"/>
        <w:rPr>
          <w:rFonts w:ascii="宋体" w:hAnsi="宋体" w:eastAsia="宋体" w:cs="宋体"/>
          <w:bCs w:val="0"/>
          <w:color w:val="000000" w:themeColor="text1"/>
          <w:sz w:val="24"/>
          <w:szCs w:val="24"/>
          <w:highlight w:val="none"/>
          <w:lang w:eastAsia="zh-CN"/>
          <w14:textFill>
            <w14:solidFill>
              <w14:schemeClr w14:val="tx1"/>
            </w14:solidFill>
          </w14:textFill>
        </w:rPr>
      </w:pPr>
      <w:r/>
      <w:bookmarkStart w:id="307" w:name="_Toc351203633"/>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1</w:t>
      </w:r>
      <w:bookmarkStart w:id="308" w:name="_Toc297048342"/>
      <w:r/>
      <w:bookmarkStart w:id="309" w:name="_Toc296891196"/>
      <w:r/>
      <w:bookmarkStart w:id="310" w:name="_Toc296944495"/>
      <w:r/>
      <w:bookmarkStart w:id="311" w:name="_Toc292559361"/>
      <w:r/>
      <w:bookmarkStart w:id="312" w:name="_Toc296890984"/>
      <w:r/>
      <w:bookmarkStart w:id="313" w:name="_Toc296503156"/>
      <w:r/>
      <w:bookmarkStart w:id="314" w:name="_Toc296347155"/>
      <w:r/>
      <w:bookmarkStart w:id="315" w:name="_Toc296346657"/>
      <w:r/>
      <w:bookmarkStart w:id="316" w:name="_Toc292559866"/>
      <w:r/>
      <w:bookmarkStart w:id="317" w:name="_Toc297120456"/>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 一般约定</w:t>
      </w:r>
      <w:bookmarkEnd w:id="307"/>
      <w:r/>
      <w:bookmarkEnd w:id="308"/>
      <w:bookmarkEnd w:id="309"/>
      <w:bookmarkEnd w:id="310"/>
      <w:bookmarkEnd w:id="311"/>
      <w:bookmarkEnd w:id="312"/>
      <w:bookmarkEnd w:id="313"/>
      <w:bookmarkEnd w:id="314"/>
      <w:bookmarkEnd w:id="315"/>
      <w:bookmarkEnd w:id="316"/>
      <w:bookmarkEnd w:id="317"/>
      <w:r/>
    </w:p>
    <w:p>
      <w:pPr>
        <w:ind w:firstLine="480"/>
        <w:spacing w:line="30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1.1 词语定义</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1.1.1合同</w:t>
      </w:r>
      <w:r/>
    </w:p>
    <w:p>
      <w:pPr>
        <w:ind w:firstLine="480"/>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1.1.1.1其他合同文件包括：</w:t>
      </w:r>
      <w:r>
        <w:rPr>
          <w:rFonts w:hint="eastAsia" w:ascii="宋体" w:hAnsi="宋体" w:cs="宋体"/>
          <w:bCs/>
          <w:color w:val="000000" w:themeColor="text1"/>
          <w:sz w:val="24"/>
          <w:highlight w:val="none"/>
          <w:u w:val="single"/>
          <w14:textFill>
            <w14:solidFill>
              <w14:schemeClr w14:val="tx1"/>
            </w14:solidFill>
          </w14:textFill>
        </w:rPr>
        <w:t xml:space="preserve">1、中标通知书；2、明确双方权利、义务的纪要、协议；3、招标文件；4、投标文件；5、施工图纸；6、标准、规范及有关技术文件、技术要求；7、标价的工程量清单；8、双方有关工程的合同、变更等书面协议或文件等其他经双方同意视为本合同组成的有关文件；</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1.1.2 合同当事人及其他相关方</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1.1.2.1监理人：</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 </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资质类别和等级： </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 </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电子信箱： </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通信地址： </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1.1.2.2 设计人：</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资质类别和等级： </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 </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电子信箱： </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通信地址： </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1.1.3 工程和设备</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1.1.3.1 作为施工现场组成部分的其他场所包括：</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具体由发包人和承包人根据现场条件确定 </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1.1.3.2 永久占地包括： </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1.1.3.3 临时占地包括： </w:t>
      </w:r>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1.2法律 </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适用于合同的其他规范性文件：</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江苏省、镇江市现行的规范性文件 </w:t>
      </w: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1.3标准和规范</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1.3.1适用于工程的标准规范包括：</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现行施工验收规范、标准 </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1.3.2 发包人提供国外标准、规范的名称：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发包人提供国外标准、规范的份数：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发包人提供国外标准、规范的名称：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1.3.3发包人对工程的技术标准和功能要求的特殊要求：</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1.4 合同文件的优先顺序</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合同文件组成及优先顺序为：</w:t>
      </w:r>
      <w:r>
        <w:rPr>
          <w:rFonts w:hint="eastAsia" w:ascii="宋体" w:hAnsi="宋体" w:cs="宋体"/>
          <w:bCs/>
          <w:color w:val="000000" w:themeColor="text1"/>
          <w:sz w:val="24"/>
          <w:highlight w:val="none"/>
          <w:u w:val="single"/>
          <w14:textFill>
            <w14:solidFill>
              <w14:schemeClr w14:val="tx1"/>
            </w14:solidFill>
          </w14:textFill>
        </w:rPr>
        <w:t xml:space="preserve">（1）本合同协议书；（2）中标通知书；（3）投标函及其附录（如有）（4）本合同专用条款及其附件；（5）明确双方权利义务的纪要、承诺或协议等；（6）招标文件、投标文件及其附件；（7）本合同通用条款；（8）标准、规范及有关技术文件、技术要求；（9）设计文件以及地勘报告（包括施工图纸、图审意见等，如有）；（10）工程报价单或预算书； (11)其他经双方同意视为本合同组成的有关文件</w:t>
      </w: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1.5 图纸和承包人文件</w:t>
      </w:r>
      <w:r>
        <w:rPr>
          <w:rFonts w:hint="eastAsia" w:ascii="宋体" w:hAnsi="宋体" w:cs="宋体"/>
          <w:b/>
          <w:bCs/>
          <w:color w:val="000000" w:themeColor="text1"/>
          <w:sz w:val="24"/>
          <w:highlight w:val="none"/>
          <w14:textFill>
            <w14:solidFill>
              <w14:schemeClr w14:val="tx1"/>
            </w14:solidFill>
          </w14:textFill>
        </w:rPr>
        <w:tab/>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1.5.1 图纸的提供</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发包人向承包人提供图纸的期限：</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发包人向承包人提供图纸的数量：</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发包人向承包人提供图纸的内容：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1.5.2 承包人文件</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需要由承包人提供的文件，包括：</w:t>
      </w:r>
      <w:r>
        <w:rPr>
          <w:rFonts w:hint="eastAsia" w:ascii="宋体" w:hAnsi="宋体" w:cs="宋体"/>
          <w:color w:val="000000" w:themeColor="text1"/>
          <w:sz w:val="24"/>
          <w:highlight w:val="none"/>
          <w:u w:val="single"/>
          <w14:textFill>
            <w14:solidFill>
              <w14:schemeClr w14:val="tx1"/>
            </w14:solidFill>
          </w14:textFill>
        </w:rPr>
        <w:t xml:space="preserve">按发包人及监理人要求提供</w:t>
      </w:r>
      <w:r>
        <w:rPr>
          <w:rFonts w:hint="eastAsia" w:ascii="宋体" w:hAnsi="宋体" w:cs="宋体"/>
          <w:bCs/>
          <w:color w:val="000000" w:themeColor="text1"/>
          <w:sz w:val="24"/>
          <w:highlight w:val="none"/>
          <w:u w:val="single"/>
          <w14:textFill>
            <w14:solidFill>
              <w14:schemeClr w14:val="tx1"/>
            </w14:solidFill>
          </w14:textFill>
        </w:rPr>
        <w:t xml:space="preserve">施工组织设计和进度计划等</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承包人提供的文件的期限为：</w:t>
      </w:r>
      <w:r>
        <w:rPr>
          <w:rFonts w:hint="eastAsia" w:ascii="宋体" w:hAnsi="宋体" w:cs="宋体"/>
          <w:bCs/>
          <w:color w:val="000000" w:themeColor="text1"/>
          <w:sz w:val="24"/>
          <w:highlight w:val="none"/>
          <w:u w:val="single"/>
          <w14:textFill>
            <w14:solidFill>
              <w14:schemeClr w14:val="tx1"/>
            </w14:solidFill>
          </w14:textFill>
        </w:rPr>
        <w:t xml:space="preserve">开工前7天内;</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承包人提供的文件的数量为：</w:t>
      </w:r>
      <w:r>
        <w:rPr>
          <w:rFonts w:hint="eastAsia" w:ascii="宋体" w:hAnsi="宋体" w:cs="宋体"/>
          <w:bCs/>
          <w:color w:val="000000" w:themeColor="text1"/>
          <w:sz w:val="24"/>
          <w:highlight w:val="none"/>
          <w:u w:val="single"/>
          <w14:textFill>
            <w14:solidFill>
              <w14:schemeClr w14:val="tx1"/>
            </w14:solidFill>
          </w14:textFill>
        </w:rPr>
        <w:t xml:space="preserve">另行约定</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承包人提供的文件的形式为：</w:t>
      </w:r>
      <w:r>
        <w:rPr>
          <w:rFonts w:hint="eastAsia" w:ascii="宋体" w:hAnsi="宋体" w:cs="宋体"/>
          <w:bCs/>
          <w:color w:val="000000" w:themeColor="text1"/>
          <w:sz w:val="24"/>
          <w:highlight w:val="none"/>
          <w:u w:val="single"/>
          <w14:textFill>
            <w14:solidFill>
              <w14:schemeClr w14:val="tx1"/>
            </w14:solidFill>
          </w14:textFill>
        </w:rPr>
        <w:t xml:space="preserve">纸质文件和电子档文件 </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发包人审批承包人文件的期限：</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1.5.3 现场图纸准备</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关于现场图纸准备的约定：</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1.6 联络</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1.6.1发包人和承包人应当在</w:t>
      </w:r>
      <w:r>
        <w:rPr>
          <w:rFonts w:hint="eastAsia" w:ascii="宋体" w:hAnsi="宋体" w:cs="宋体"/>
          <w:bCs/>
          <w:color w:val="000000" w:themeColor="text1"/>
          <w:sz w:val="24"/>
          <w:highlight w:val="none"/>
          <w:u w:val="single"/>
          <w14:textFill>
            <w14:solidFill>
              <w14:schemeClr w14:val="tx1"/>
            </w14:solidFill>
          </w14:textFill>
        </w:rPr>
        <w:t xml:space="preserve"> 叁 </w:t>
      </w:r>
      <w:r>
        <w:rPr>
          <w:rFonts w:hint="eastAsia" w:ascii="宋体" w:hAnsi="宋体" w:cs="宋体"/>
          <w:color w:val="000000" w:themeColor="text1"/>
          <w:sz w:val="24"/>
          <w:highlight w:val="none"/>
          <w14:textFill>
            <w14:solidFill>
              <w14:schemeClr w14:val="tx1"/>
            </w14:solidFill>
          </w14:textFill>
        </w:rPr>
        <w:t xml:space="preserve">天内将与合同有关的通知、批准、证明、证书、指示、指令、要求、请求、同意、意见、确定和决定等书面函件送达对方当事人。</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1.6.2 发包人接收文件的地点：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发包人指定的接收人为：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承包人接收文件的地点：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承包人指定的接收人为：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监理人接收文件的地点：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监理人指定的接收人为：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1.7 交通运输</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bookmarkStart w:id="318" w:name="_Toc318581155"/>
      <w:r/>
      <w:bookmarkStart w:id="319" w:name="_Toc303539100"/>
      <w:r/>
      <w:bookmarkStart w:id="320" w:name="_Toc312677986"/>
      <w:r/>
      <w:bookmarkStart w:id="321" w:name="_Toc300934943"/>
      <w:r/>
      <w:bookmarkStart w:id="322" w:name="_Toc304295521"/>
      <w:r>
        <w:rPr>
          <w:rFonts w:hint="eastAsia" w:ascii="宋体" w:hAnsi="宋体" w:cs="宋体"/>
          <w:color w:val="000000" w:themeColor="text1"/>
          <w:sz w:val="24"/>
          <w:highlight w:val="none"/>
          <w14:textFill>
            <w14:solidFill>
              <w14:schemeClr w14:val="tx1"/>
            </w14:solidFill>
          </w14:textFill>
        </w:rPr>
        <w:t xml:space="preserve">.7.1 出入现场的权利</w:t>
      </w:r>
      <w:r/>
    </w:p>
    <w:p>
      <w:pPr>
        <w:ind w:firstLine="480"/>
        <w:spacing w:line="30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关于出入现场的权利的约定：</w:t>
      </w:r>
      <w:r>
        <w:rPr>
          <w:rFonts w:hint="eastAsia" w:ascii="宋体" w:hAnsi="宋体" w:cs="宋体"/>
          <w:bCs/>
          <w:color w:val="000000" w:themeColor="text1"/>
          <w:sz w:val="24"/>
          <w:highlight w:val="none"/>
          <w:u w:val="single"/>
          <w14:textFill>
            <w14:solidFill>
              <w14:schemeClr w14:val="tx1"/>
            </w14:solidFill>
          </w14:textFill>
        </w:rPr>
        <w:t xml:space="preserve">除本项目参建单位相关人员外，其他人员未经许可不得进入施工现场，承包人应安排专人做好保卫工作（费用含在投标报价中），否则由此而产生的后果由承包人自行承担，其他未尽事宜按通用条款执行；</w:t>
      </w:r>
      <w:bookmarkEnd w:id="318"/>
      <w:bookmarkEnd w:id="319"/>
      <w:bookmarkEnd w:id="320"/>
      <w:bookmarkEnd w:id="321"/>
      <w:bookmarkEnd w:id="322"/>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bookmarkStart w:id="323" w:name="_Toc304295522"/>
      <w:r/>
      <w:bookmarkStart w:id="324" w:name="_Toc312677987"/>
      <w:r/>
      <w:bookmarkStart w:id="325" w:name="_Toc318581156"/>
      <w:r/>
      <w:bookmarkStart w:id="326" w:name="_Toc303539101"/>
      <w:r/>
      <w:bookmarkStart w:id="327" w:name="_Toc300934944"/>
      <w:r>
        <w:rPr>
          <w:rFonts w:hint="eastAsia" w:ascii="宋体" w:hAnsi="宋体" w:cs="宋体"/>
          <w:color w:val="000000" w:themeColor="text1"/>
          <w:sz w:val="24"/>
          <w:highlight w:val="none"/>
          <w14:textFill>
            <w14:solidFill>
              <w14:schemeClr w14:val="tx1"/>
            </w14:solidFill>
          </w14:textFill>
        </w:rPr>
        <w:t xml:space="preserve">.7.2 场内交通</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关于场外交通和场内交通的边界的约定：</w:t>
      </w:r>
      <w:r>
        <w:rPr>
          <w:rFonts w:hint="eastAsia" w:ascii="宋体" w:hAnsi="宋体" w:cs="宋体"/>
          <w:bCs/>
          <w:color w:val="000000" w:themeColor="text1"/>
          <w:sz w:val="24"/>
          <w:highlight w:val="none"/>
          <w:u w:val="single"/>
          <w14:textFill>
            <w14:solidFill>
              <w14:schemeClr w14:val="tx1"/>
            </w14:solidFill>
          </w14:textFill>
        </w:rPr>
        <w:t xml:space="preserve">以本项目施工现场大门为界</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关于发包人向承包人免费提供满足工程施工需要的场内道路和交通设施的约定：</w:t>
      </w:r>
      <w:r>
        <w:rPr>
          <w:rFonts w:hint="eastAsia" w:ascii="宋体" w:hAnsi="宋体" w:cs="宋体"/>
          <w:bCs/>
          <w:color w:val="000000" w:themeColor="text1"/>
          <w:sz w:val="24"/>
          <w:highlight w:val="none"/>
          <w:u w:val="single"/>
          <w14:textFill>
            <w14:solidFill>
              <w14:schemeClr w14:val="tx1"/>
            </w14:solidFill>
          </w14:textFill>
        </w:rPr>
        <w:t xml:space="preserve">发包人提供现场已有道路、围墙以及大门等设施，不再提供现场已有条件外的其他设施，如承包人施工期间损坏现有设施，应予以恢复或承担恢复的相关费用</w:t>
      </w:r>
      <w:r>
        <w:rPr>
          <w:rFonts w:hint="eastAsia" w:ascii="宋体" w:hAnsi="宋体" w:cs="宋体"/>
          <w:color w:val="000000" w:themeColor="text1"/>
          <w:sz w:val="24"/>
          <w:highlight w:val="none"/>
          <w14:textFill>
            <w14:solidFill>
              <w14:schemeClr w14:val="tx1"/>
            </w14:solidFill>
          </w14:textFill>
        </w:rPr>
        <w:t xml:space="preserve">。</w:t>
      </w:r>
      <w:bookmarkEnd w:id="323"/>
      <w:r/>
      <w:bookmarkEnd w:id="324"/>
      <w:r/>
      <w:bookmarkEnd w:id="325"/>
      <w:r/>
      <w:bookmarkEnd w:id="326"/>
      <w:r/>
      <w:bookmarkEnd w:id="327"/>
      <w:r/>
      <w:bookmarkStart w:id="328" w:name="_Toc318581157"/>
      <w:r>
        <w:rPr>
          <w:rFonts w:hint="eastAsia" w:ascii="宋体" w:hAnsi="宋体" w:cs="宋体"/>
          <w:color w:val="000000" w:themeColor="text1"/>
          <w:sz w:val="24"/>
          <w:highlight w:val="none"/>
          <w14:textFill>
            <w14:solidFill>
              <w14:schemeClr w14:val="tx1"/>
            </w14:solidFill>
          </w14:textFill>
        </w:rPr>
        <w:t xml:space="preserve"> </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1.7.3超大件和超重件的运输</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运输超大件或超重件所需的道路和桥梁临时加固改造费用和其他有关费用由</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承包人</w:t>
      </w:r>
      <w:r>
        <w:rPr>
          <w:rFonts w:hint="eastAsia" w:ascii="宋体" w:hAnsi="宋体" w:cs="宋体"/>
          <w:color w:val="000000" w:themeColor="text1"/>
          <w:sz w:val="24"/>
          <w:highlight w:val="none"/>
          <w14:textFill>
            <w14:solidFill>
              <w14:schemeClr w14:val="tx1"/>
            </w14:solidFill>
          </w14:textFill>
        </w:rPr>
        <w:t xml:space="preserve">承担。</w:t>
      </w:r>
      <w:bookmarkEnd w:id="328"/>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1.8 知识产权</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cs="宋体"/>
          <w:bCs/>
          <w:color w:val="000000" w:themeColor="text1"/>
          <w:sz w:val="24"/>
          <w:highlight w:val="none"/>
          <w:u w:val="single"/>
          <w14:textFill>
            <w14:solidFill>
              <w14:schemeClr w14:val="tx1"/>
            </w14:solidFill>
          </w14:textFill>
        </w:rPr>
        <w:t xml:space="preserve">发包人或按发包人与第三方签订的有关协议执行</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关于发包人提供的上述文件的使用限制的要求：</w:t>
      </w:r>
      <w:r>
        <w:rPr>
          <w:rFonts w:hint="eastAsia" w:ascii="宋体" w:hAnsi="宋体" w:cs="宋体"/>
          <w:bCs/>
          <w:color w:val="000000" w:themeColor="text1"/>
          <w:sz w:val="24"/>
          <w:highlight w:val="none"/>
          <w:u w:val="single"/>
          <w14:textFill>
            <w14:solidFill>
              <w14:schemeClr w14:val="tx1"/>
            </w14:solidFill>
          </w14:textFill>
        </w:rPr>
        <w:t xml:space="preserve">承包人履行保密义务，不得将图纸及相关文件资料内容泄露给无关的第三方，或将本项目图纸及相关文件资料用于非发包方同意的本工程以外的其他项目，工程质量保修期满后，除存档需要的图纸及相关文件资料外，承包人应将全部图纸及相关文件资料退还给发包人。</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1.8.2 关于承包人为实施工程所编制文件的著作权的归属：</w:t>
      </w:r>
      <w:r>
        <w:rPr>
          <w:rFonts w:hint="eastAsia" w:ascii="宋体" w:hAnsi="宋体" w:cs="宋体"/>
          <w:bCs/>
          <w:color w:val="000000" w:themeColor="text1"/>
          <w:sz w:val="24"/>
          <w:highlight w:val="none"/>
          <w:u w:val="single"/>
          <w14:textFill>
            <w14:solidFill>
              <w14:schemeClr w14:val="tx1"/>
            </w14:solidFill>
          </w14:textFill>
        </w:rPr>
        <w:t xml:space="preserve">除署名权以外的著作权外，均归属于发包人</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关于承包人提供的上述文件的使用限制的要求：</w:t>
      </w:r>
      <w:r>
        <w:rPr>
          <w:rFonts w:hint="eastAsia" w:ascii="宋体" w:hAnsi="宋体" w:cs="宋体"/>
          <w:bCs/>
          <w:color w:val="000000" w:themeColor="text1"/>
          <w:sz w:val="24"/>
          <w:highlight w:val="none"/>
          <w:u w:val="single"/>
          <w14:textFill>
            <w14:solidFill>
              <w14:schemeClr w14:val="tx1"/>
            </w14:solidFill>
          </w14:textFill>
        </w:rPr>
        <w:t xml:space="preserve">仅限用于本项目</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1.8.3 承包人在施工过程中所采用的专利、专有技术、技术秘密的使用费的承担方式：</w:t>
      </w:r>
      <w:r>
        <w:rPr>
          <w:rFonts w:hint="eastAsia" w:ascii="宋体" w:hAnsi="宋体" w:cs="宋体"/>
          <w:bCs/>
          <w:color w:val="000000" w:themeColor="text1"/>
          <w:sz w:val="24"/>
          <w:highlight w:val="none"/>
          <w:u w:val="single"/>
          <w14:textFill>
            <w14:solidFill>
              <w14:schemeClr w14:val="tx1"/>
            </w14:solidFill>
          </w14:textFill>
        </w:rPr>
        <w:t xml:space="preserve">已含在合同价款中，由承包人承担 </w:t>
      </w: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1.9工程量清单错误的修正</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出现工程量清单错误时，是否调整合同价格：</w:t>
      </w:r>
      <w:r>
        <w:rPr>
          <w:rFonts w:hint="eastAsia" w:ascii="宋体" w:hAnsi="宋体" w:cs="宋体"/>
          <w:bCs/>
          <w:color w:val="000000" w:themeColor="text1"/>
          <w:sz w:val="24"/>
          <w:highlight w:val="none"/>
          <w:u w:val="single"/>
          <w14:textFill>
            <w14:solidFill>
              <w14:schemeClr w14:val="tx1"/>
            </w14:solidFill>
          </w14:textFill>
        </w:rPr>
        <w:t xml:space="preserve">按现行清单计价规范相应条款执行</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允许调整合同价格的工程量偏差范围：</w:t>
      </w:r>
      <w:r>
        <w:rPr>
          <w:rFonts w:hint="eastAsia" w:ascii="宋体" w:hAnsi="宋体" w:cs="宋体"/>
          <w:bCs/>
          <w:color w:val="000000" w:themeColor="text1"/>
          <w:sz w:val="24"/>
          <w:highlight w:val="none"/>
          <w:u w:val="single"/>
          <w14:textFill>
            <w14:solidFill>
              <w14:schemeClr w14:val="tx1"/>
            </w14:solidFill>
          </w14:textFill>
        </w:rPr>
        <w:t xml:space="preserve"> 发包人、承包人、监理人三方认可的设计变更 </w:t>
      </w:r>
      <w:r>
        <w:rPr>
          <w:rFonts w:hint="eastAsia" w:ascii="宋体" w:hAnsi="宋体" w:cs="宋体"/>
          <w:color w:val="000000" w:themeColor="text1"/>
          <w:sz w:val="24"/>
          <w:highlight w:val="none"/>
          <w14:textFill>
            <w14:solidFill>
              <w14:schemeClr w14:val="tx1"/>
            </w14:solidFill>
          </w14:textFill>
        </w:rPr>
        <w:t xml:space="preserve">。</w:t>
      </w:r>
      <w:r/>
    </w:p>
    <w:p>
      <w:pPr>
        <w:pStyle w:val="849"/>
        <w:ind w:firstLine="482"/>
        <w:spacing w:before="0" w:after="0" w:line="300" w:lineRule="auto"/>
        <w:rPr>
          <w:rFonts w:ascii="宋体" w:hAnsi="宋体" w:eastAsia="宋体" w:cs="宋体"/>
          <w:bCs w:val="0"/>
          <w:color w:val="000000" w:themeColor="text1"/>
          <w:sz w:val="24"/>
          <w:szCs w:val="24"/>
          <w:highlight w:val="none"/>
          <w:lang w:eastAsia="zh-CN"/>
          <w14:textFill>
            <w14:solidFill>
              <w14:schemeClr w14:val="tx1"/>
            </w14:solidFill>
          </w14:textFill>
        </w:rPr>
      </w:pPr>
      <w:r/>
      <w:bookmarkStart w:id="329" w:name="_Toc351203634"/>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2</w:t>
      </w:r>
      <w:bookmarkStart w:id="330" w:name="_Toc292559867"/>
      <w:r/>
      <w:bookmarkStart w:id="331" w:name="_Toc292559362"/>
      <w:r/>
      <w:bookmarkStart w:id="332" w:name="_Toc297048343"/>
      <w:r/>
      <w:bookmarkStart w:id="333" w:name="_Toc296944496"/>
      <w:r/>
      <w:bookmarkStart w:id="334" w:name="_Toc296503157"/>
      <w:r/>
      <w:bookmarkStart w:id="335" w:name="_Toc297120457"/>
      <w:r/>
      <w:bookmarkStart w:id="336" w:name="_Toc296890985"/>
      <w:r/>
      <w:bookmarkStart w:id="337" w:name="_Toc296347156"/>
      <w:r/>
      <w:bookmarkStart w:id="338" w:name="_Toc296346658"/>
      <w:r/>
      <w:bookmarkStart w:id="339" w:name="_Toc296891197"/>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 发包人</w:t>
      </w:r>
      <w:bookmarkEnd w:id="329"/>
      <w:r/>
      <w:bookmarkEnd w:id="330"/>
      <w:bookmarkEnd w:id="331"/>
      <w:bookmarkEnd w:id="332"/>
      <w:bookmarkEnd w:id="333"/>
      <w:bookmarkEnd w:id="334"/>
      <w:bookmarkEnd w:id="335"/>
      <w:bookmarkEnd w:id="336"/>
      <w:bookmarkEnd w:id="337"/>
      <w:bookmarkEnd w:id="338"/>
      <w:bookmarkEnd w:id="339"/>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2.1 发包人代表</w:t>
      </w:r>
      <w:r/>
    </w:p>
    <w:p>
      <w:pPr>
        <w:ind w:firstLine="480"/>
        <w:spacing w:line="30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发包人代表：</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 </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身份证号：</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职务： </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 </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电子信箱： </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通信地址： </w:t>
      </w:r>
      <w:r/>
    </w:p>
    <w:p>
      <w:pPr>
        <w:ind w:firstLine="480"/>
        <w:spacing w:line="30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发包人对发包人代表的授权范围如下：</w:t>
      </w:r>
      <w:r>
        <w:rPr>
          <w:rFonts w:hint="eastAsia" w:ascii="宋体" w:hAnsi="宋体" w:cs="宋体"/>
          <w:color w:val="000000" w:themeColor="text1"/>
          <w:sz w:val="24"/>
          <w:highlight w:val="none"/>
          <w:u w:val="single"/>
          <w14:textFill>
            <w14:solidFill>
              <w14:schemeClr w14:val="tx1"/>
            </w14:solidFill>
          </w14:textFill>
        </w:rPr>
        <w:t xml:space="preserve">主持施工现场发包人的工作，包括对施工过程中的合同执行情况进行检查监督。处理在工程施工过程中发生的工期顺延、设计变更及施工条件变更、影响工程决算费用等事项；</w:t>
      </w:r>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2.2施工现场、施工条件和基础资料的提供</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2.2.1 提供施工现场</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关于发包人移交施工现场的期限要求：</w:t>
      </w:r>
      <w:r>
        <w:rPr>
          <w:rFonts w:hint="eastAsia" w:ascii="宋体" w:hAnsi="宋体" w:cs="宋体"/>
          <w:bCs/>
          <w:color w:val="000000" w:themeColor="text1"/>
          <w:sz w:val="24"/>
          <w:highlight w:val="none"/>
          <w:u w:val="single"/>
          <w14:textFill>
            <w14:solidFill>
              <w14:schemeClr w14:val="tx1"/>
            </w14:solidFill>
          </w14:textFill>
        </w:rPr>
        <w:t xml:space="preserve">开工前2天</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2.2.2 提供施工条件</w:t>
      </w:r>
      <w:r/>
    </w:p>
    <w:p>
      <w:pPr>
        <w:ind w:firstLine="480"/>
        <w:spacing w:line="30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关于发包人应负责提供施工所需要的条件，包括：</w:t>
      </w:r>
      <w:r>
        <w:rPr>
          <w:rFonts w:hint="eastAsia" w:ascii="宋体" w:hAnsi="宋体" w:cs="宋体"/>
          <w:bCs/>
          <w:color w:val="000000" w:themeColor="text1"/>
          <w:sz w:val="24"/>
          <w:highlight w:val="none"/>
          <w:u w:val="single"/>
          <w14:textFill>
            <w14:solidFill>
              <w14:schemeClr w14:val="tx1"/>
            </w14:solidFill>
          </w14:textFill>
        </w:rPr>
        <w:t xml:space="preserve">承包人在投标前已经到工地勘察并充分了解工地位置、邻近建筑物、道路、储存空间、起卸限制及任何其他足以影响响应报价之情况。中标后，承包人不得因以不了解现场情况或误解工地情况提出费用或工期索赔</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 资金来源证明及支付担保</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发包人提供资金来源证明的期限要求：</w:t>
      </w:r>
      <w:r>
        <w:rPr>
          <w:rFonts w:hint="eastAsia" w:ascii="宋体" w:hAnsi="宋体" w:cs="宋体"/>
          <w:bCs/>
          <w:color w:val="000000" w:themeColor="text1"/>
          <w:sz w:val="24"/>
          <w:highlight w:val="none"/>
          <w:u w:val="single"/>
          <w14:textFill>
            <w14:solidFill>
              <w14:schemeClr w14:val="tx1"/>
            </w14:solidFill>
          </w14:textFill>
        </w:rPr>
        <w:t xml:space="preserve">按通用条款执行</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发包人是否提供支付担保：</w:t>
      </w:r>
      <w:r>
        <w:rPr>
          <w:rFonts w:hint="eastAsia" w:ascii="宋体" w:hAnsi="宋体" w:cs="宋体"/>
          <w:bCs/>
          <w:color w:val="000000" w:themeColor="text1"/>
          <w:sz w:val="24"/>
          <w:highlight w:val="none"/>
          <w:u w:val="single"/>
          <w14:textFill>
            <w14:solidFill>
              <w14:schemeClr w14:val="tx1"/>
            </w14:solidFill>
          </w14:textFill>
        </w:rPr>
        <w:t xml:space="preserve">按通用条款执行</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发包人提供支付担保的形式：</w:t>
      </w:r>
      <w:r>
        <w:rPr>
          <w:rFonts w:hint="eastAsia" w:ascii="宋体" w:hAnsi="宋体" w:cs="宋体"/>
          <w:bCs/>
          <w:color w:val="000000" w:themeColor="text1"/>
          <w:sz w:val="24"/>
          <w:highlight w:val="none"/>
          <w:u w:val="single"/>
          <w14:textFill>
            <w14:solidFill>
              <w14:schemeClr w14:val="tx1"/>
            </w14:solidFill>
          </w14:textFill>
        </w:rPr>
        <w:t xml:space="preserve">按通用条款执行</w:t>
      </w:r>
      <w:r>
        <w:rPr>
          <w:rFonts w:hint="eastAsia" w:ascii="宋体" w:hAnsi="宋体" w:cs="宋体"/>
          <w:color w:val="000000" w:themeColor="text1"/>
          <w:sz w:val="24"/>
          <w:highlight w:val="none"/>
          <w14:textFill>
            <w14:solidFill>
              <w14:schemeClr w14:val="tx1"/>
            </w14:solidFill>
          </w14:textFill>
        </w:rPr>
        <w:t xml:space="preserve">。</w:t>
      </w:r>
      <w:r/>
    </w:p>
    <w:p>
      <w:pPr>
        <w:pStyle w:val="849"/>
        <w:ind w:firstLine="482"/>
        <w:spacing w:before="0" w:after="0" w:line="300" w:lineRule="auto"/>
        <w:rPr>
          <w:rFonts w:ascii="宋体" w:hAnsi="宋体" w:eastAsia="宋体" w:cs="宋体"/>
          <w:bCs w:val="0"/>
          <w:color w:val="000000" w:themeColor="text1"/>
          <w:sz w:val="24"/>
          <w:szCs w:val="24"/>
          <w:highlight w:val="none"/>
          <w:lang w:eastAsia="zh-CN"/>
          <w14:textFill>
            <w14:solidFill>
              <w14:schemeClr w14:val="tx1"/>
            </w14:solidFill>
          </w14:textFill>
        </w:rPr>
      </w:pPr>
      <w:r/>
      <w:bookmarkStart w:id="340" w:name="_Toc351203635"/>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3</w:t>
      </w:r>
      <w:bookmarkStart w:id="341" w:name="_Toc296944497"/>
      <w:r/>
      <w:bookmarkStart w:id="342" w:name="_Toc292559868"/>
      <w:r/>
      <w:bookmarkStart w:id="343" w:name="_Toc296890986"/>
      <w:r/>
      <w:bookmarkStart w:id="344" w:name="_Toc296347157"/>
      <w:r/>
      <w:bookmarkStart w:id="345" w:name="_Toc296891198"/>
      <w:r/>
      <w:bookmarkStart w:id="346" w:name="_Toc296503158"/>
      <w:r/>
      <w:bookmarkStart w:id="347" w:name="_Toc297048344"/>
      <w:r/>
      <w:bookmarkStart w:id="348" w:name="_Toc296346659"/>
      <w:r/>
      <w:bookmarkStart w:id="349" w:name="_Toc292559363"/>
      <w:r/>
      <w:bookmarkStart w:id="350" w:name="_Toc297120458"/>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 承包人</w:t>
      </w:r>
      <w:bookmarkEnd w:id="340"/>
      <w:r/>
      <w:bookmarkEnd w:id="341"/>
      <w:bookmarkEnd w:id="342"/>
      <w:bookmarkEnd w:id="343"/>
      <w:bookmarkEnd w:id="344"/>
      <w:bookmarkEnd w:id="345"/>
      <w:bookmarkEnd w:id="346"/>
      <w:bookmarkEnd w:id="347"/>
      <w:bookmarkEnd w:id="348"/>
      <w:bookmarkEnd w:id="349"/>
      <w:bookmarkEnd w:id="350"/>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3.1 承包人的一般义务</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3.1.1承包人提交的竣工资料的内容：</w:t>
      </w:r>
      <w:r>
        <w:rPr>
          <w:rFonts w:hint="eastAsia" w:ascii="宋体" w:hAnsi="宋体" w:cs="宋体"/>
          <w:bCs/>
          <w:color w:val="000000" w:themeColor="text1"/>
          <w:sz w:val="24"/>
          <w:highlight w:val="none"/>
          <w:u w:val="single"/>
          <w14:textFill>
            <w14:solidFill>
              <w14:schemeClr w14:val="tx1"/>
            </w14:solidFill>
          </w14:textFill>
        </w:rPr>
        <w:t xml:space="preserve">按相关规定 </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承包人需要提交的竣工资料套数：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不少于陆套完整的竣工资料（另附竣工电子文件一套），其中包括竣工图、竣工决算资料等 </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承包人提交的竣工资料的费用承担：</w:t>
      </w:r>
      <w:r>
        <w:rPr>
          <w:rFonts w:hint="eastAsia" w:ascii="宋体" w:hAnsi="宋体" w:cs="宋体"/>
          <w:bCs/>
          <w:color w:val="000000" w:themeColor="text1"/>
          <w:sz w:val="24"/>
          <w:highlight w:val="none"/>
          <w:u w:val="single"/>
          <w14:textFill>
            <w14:solidFill>
              <w14:schemeClr w14:val="tx1"/>
            </w14:solidFill>
          </w14:textFill>
        </w:rPr>
        <w:t xml:space="preserve">由承包人承担</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承包人提交的竣工资料移交时间：</w:t>
      </w:r>
      <w:r>
        <w:rPr>
          <w:rFonts w:hint="eastAsia" w:ascii="宋体" w:hAnsi="宋体" w:cs="宋体"/>
          <w:bCs/>
          <w:color w:val="000000" w:themeColor="text1"/>
          <w:sz w:val="24"/>
          <w:highlight w:val="none"/>
          <w:u w:val="single"/>
          <w14:textFill>
            <w14:solidFill>
              <w14:schemeClr w14:val="tx1"/>
            </w14:solidFill>
          </w14:textFill>
        </w:rPr>
        <w:t xml:space="preserve">竣工验收合格后30日内</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承包人提交的竣工资料形式要求：</w:t>
      </w:r>
      <w:r>
        <w:rPr>
          <w:rFonts w:hint="eastAsia" w:ascii="宋体" w:hAnsi="宋体" w:cs="宋体"/>
          <w:bCs/>
          <w:color w:val="000000" w:themeColor="text1"/>
          <w:sz w:val="24"/>
          <w:highlight w:val="none"/>
          <w:u w:val="single"/>
          <w14:textFill>
            <w14:solidFill>
              <w14:schemeClr w14:val="tx1"/>
            </w14:solidFill>
          </w14:textFill>
        </w:rPr>
        <w:t xml:space="preserve">书面形式（胶装成册）和电子档，所有工程资料必须符合工程验收和档案管理要求，因承包人提供的资料不符合档案管理要求而重新制作整理所产生的费用由承包人自行承担，且承担违约和赔偿责任 </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3.1.2承包人应履行的其他义务：</w:t>
      </w:r>
      <w:r/>
    </w:p>
    <w:p>
      <w:pPr>
        <w:ind w:firstLine="480"/>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1）承包人必须遵守江苏省及镇江市行业主管部门的相关规定，如须办理合同备案、质监、安监、施工许可证等开工前手续的，由承包人负责办理，发包人予以配合协助，发包人按照镇江市建设行政主管部门要求，及时提供用于申办本工程备案、报批等手续所需的必要资料，承包人应在发包人提供上述资料后14天内完成所有备案、报批等开工前必要的手续，因承包人原因逾期未办妥的而导致工期延误，工期不予顺延。</w:t>
      </w:r>
      <w:r/>
    </w:p>
    <w:p>
      <w:pPr>
        <w:ind w:firstLine="480"/>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2）承担发包人上级领导检查、视察工地所需的现场准备工作；配合质监、安监单位的现场检查，并承担由此引起的相关费用。发包人需要时，可能对施工做出某些限制和配合要求，承包人应按照要求做出必要的配合，并承担有可能因此而引起工效降低需增加的费用。</w:t>
      </w:r>
      <w:r/>
    </w:p>
    <w:p>
      <w:pPr>
        <w:ind w:firstLine="480"/>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（3）承包人必须</w:t>
      </w:r>
      <w:bookmarkStart w:id="351" w:name="_Hlk68079070"/>
      <w:r>
        <w:rPr>
          <w:rFonts w:hint="eastAsia" w:ascii="宋体" w:hAnsi="宋体" w:cs="宋体"/>
          <w:bCs/>
          <w:color w:val="000000" w:themeColor="text1"/>
          <w:sz w:val="24"/>
          <w:highlight w:val="none"/>
          <w:u w:val="single"/>
          <w14:textFill>
            <w14:solidFill>
              <w14:schemeClr w14:val="tx1"/>
            </w14:solidFill>
          </w14:textFill>
        </w:rPr>
        <w:t xml:space="preserve">遵守江苏省及镇江市行业主管部门的相关规定</w:t>
      </w:r>
      <w:bookmarkEnd w:id="351"/>
      <w:r>
        <w:rPr>
          <w:rFonts w:hint="eastAsia" w:ascii="宋体" w:hAnsi="宋体" w:cs="宋体"/>
          <w:bCs/>
          <w:color w:val="000000" w:themeColor="text1"/>
          <w:sz w:val="24"/>
          <w:highlight w:val="none"/>
          <w:u w:val="single"/>
          <w14:textFill>
            <w14:solidFill>
              <w14:schemeClr w14:val="tx1"/>
            </w14:solidFill>
          </w14:textFill>
        </w:rPr>
        <w:t xml:space="preserve">，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等。</w:t>
      </w:r>
      <w:r/>
    </w:p>
    <w:p>
      <w:pPr>
        <w:ind w:firstLine="480"/>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4）涉及到的所有交通、环卫、市容、施工噪声及劳务用工管理等各项应办手续及费用，均由承包方自行办理和承担。承包人不得因此而影响工程工期，否则仍须承担违约责任。若因此而产生相应的行政处罚，概由承包人承担。</w:t>
      </w:r>
      <w:r/>
    </w:p>
    <w:p>
      <w:pPr>
        <w:ind w:firstLine="480"/>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（5）承包人所报价格应包含其自身分包引起的各项增加的或额外的费用。</w:t>
      </w:r>
      <w:r/>
    </w:p>
    <w:p>
      <w:pPr>
        <w:ind w:firstLine="480"/>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（6）承包人加强工程施工车辆的管理，施工车辆不得无故堵塞道路交通，不得沿途抛洒弃土，并根据发包人的要求，安排人员在主要路口疏导车辆、行人交通，其费用由承包人负责。</w:t>
      </w:r>
      <w:r/>
    </w:p>
    <w:p>
      <w:pPr>
        <w:ind w:firstLine="480"/>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7）本合同承包人必须负责施工现场临时用水、用电工作(发包人指定施工用水用电接入点，承包人布管接线并挂表计量)，并接受发包人统一管理，以及全力配合其他专业承包工程施工单位进行施工，确保双方能按照合同规定的工期完成工程，否则造成的损失由承包人承担。</w:t>
      </w:r>
      <w:r/>
    </w:p>
    <w:p>
      <w:pPr>
        <w:ind w:firstLine="480"/>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8）施工场地清洁卫生的要求：承包人负责工地现场除由承包人自身施工产生的建筑垃圾和生活垃圾清运工作外，如含装饰改造工程的，还需负责公共区域的卫生、清洁、垃圾清运等工作；以及本工程全区域的卫生管理与检查。按建设行政主管部门有关规定执行，文明施工，保</w:t>
      </w:r>
      <w:r>
        <w:rPr>
          <w:rFonts w:hint="eastAsia" w:ascii="宋体" w:hAnsi="宋体" w:cs="宋体"/>
          <w:bCs/>
          <w:color w:val="000000" w:themeColor="text1"/>
          <w:sz w:val="24"/>
          <w:highlight w:val="none"/>
          <w:u w:val="single"/>
          <w14:textFill>
            <w14:solidFill>
              <w14:schemeClr w14:val="tx1"/>
            </w14:solidFill>
          </w14:textFill>
        </w:rPr>
        <w:t xml:space="preserve">证工完场清。①设置、维修和管理临时排污系统；②每天保持施工道路的畅通与清洁，负责保养及维修进入工地施工区域道路，费用由承包人承担；③收集和处理所有施工现场和生活区域内的所有垃圾，直到竣工交付为止；④承包人应按发包人要求，按规定做好场内布置各项标识、标牌、便于检查、视察或参观；⑤若因承包人现场清洁卫生工作不好，导致投诉（经调查属实的）或新闻媒体曝光，承包人需承担由此产生的一切后果和费用；另发包人可以要求承包人支付1万元/次的违约金。⑥竣工交付时应将其排污设施全部拆除并清理至发包人满意，承包人承担其相应的费用。</w:t>
      </w:r>
      <w:r/>
    </w:p>
    <w:p>
      <w:pPr>
        <w:ind w:firstLine="480"/>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（9）在现场施工中，承包人应负责自身施工区域与公共区域的安全设施的搭设与维修管理工作，以及为安全检查所进行的管理、协调、配合工作等。承包人可以使用由发包人修建的道路。</w:t>
      </w:r>
      <w:r/>
    </w:p>
    <w:p>
      <w:pPr>
        <w:ind w:firstLine="480"/>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10）承包人负责管理施工现场内先期建成的设施，施工期间如因承包人管理不力造成先期建成的设施被盗或损坏，均由承包人负责，整修被盗或损坏设施的费用由承包人支付。负责发包人供应的材料设备的保管，同时还应负责由发包人转交给承包人施工、安装的设备、材料等的安全保卫工作，因承包人保管不善造成的遗失、被盗、损坏均由承包人承担赔偿责任。</w:t>
      </w:r>
      <w:r/>
    </w:p>
    <w:p>
      <w:pPr>
        <w:ind w:firstLine="480"/>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（11）承包人应当服从监理工程师及发包人的现场管理和协调工作，合理调动资源，确保工期、质量目标的实现。</w:t>
      </w:r>
      <w:r/>
    </w:p>
    <w:p>
      <w:pPr>
        <w:ind w:firstLine="480"/>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12）承包人必须在规定的时间之内执行发包人现场代表获本合同授权而发出的合理的书面指令。若承包人没有在规定时间之内执行指令，而在收到发包人催促执行的书面通知后7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w:t>
      </w:r>
      <w:r/>
    </w:p>
    <w:p>
      <w:pPr>
        <w:ind w:firstLine="480"/>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（13）承包人必须签收监理工程师发出的书面资料，如有异议必须在收文之日起3日内书面回复，否则视同认可。</w:t>
      </w:r>
      <w:r/>
    </w:p>
    <w:p>
      <w:pPr>
        <w:ind w:firstLine="480"/>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（14）承包人报给监理的所有资料，须同步报发包人并办理签收手续，但发包人不会越过监理直接给承包人回复。</w:t>
      </w:r>
      <w:r/>
    </w:p>
    <w:p>
      <w:pPr>
        <w:ind w:firstLine="480"/>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（15）对承包人因违约应支付的违约金，发包人有权从当期节点付款时扣除。</w:t>
      </w:r>
      <w:r/>
    </w:p>
    <w:p>
      <w:pPr>
        <w:ind w:firstLine="480"/>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（16）任何时候、任何人未经发包人和监理同意，施工人员不得住在改造出新建筑内。</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（17）双方另行协商的其他义务</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①参加甲方组织的作法说明的现场交底，拟定施工方案和进度计划，交甲方审定。</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②指派      为乙方项目经理（项目负责人），负责合同履行。按要求组织施工，保质、保量、按期完成施工任务，解决由乙方负责的各项事宜，</w:t>
      </w:r>
      <w:bookmarkStart w:id="352" w:name="OLE_LINK2"/>
      <w:r>
        <w:rPr>
          <w:rFonts w:hint="eastAsia" w:ascii="宋体" w:hAnsi="宋体" w:cs="宋体"/>
          <w:color w:val="000000" w:themeColor="text1"/>
          <w:sz w:val="24"/>
          <w:highlight w:val="none"/>
          <w14:textFill>
            <w14:solidFill>
              <w14:schemeClr w14:val="tx1"/>
            </w14:solidFill>
          </w14:textFill>
        </w:rPr>
        <w:t xml:space="preserve">项目经理驻场不得低于42天，缺勤按照5000元/天扣款</w:t>
      </w:r>
      <w:bookmarkEnd w:id="352"/>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③严格执行施工规范、安全操作规程、防火安全规定、环境保护规定。严格按照做法说明进行施工，做好各项质量检查记录，参加竣工验收，编制工程决算。</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④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⑤施工中未经甲方同意或有关部门批准，不得随意拆改原建筑物结构及各种设备管线。若乙方在未经同意的情况下，单方施工，产生的一切责任、损失由乙方承担。</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⑥工程竣工未移交甲方之前，负责对现场的一切设施和工程成品进行保护。</w:t>
      </w:r>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3.2 项目经理</w:t>
      </w:r>
      <w:r/>
    </w:p>
    <w:p>
      <w:pPr>
        <w:ind w:firstLine="480"/>
        <w:jc w:val="left"/>
        <w:spacing w:line="30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3.2.1 项目经理：</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身份证号：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建造师执业资格等级：</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建造师注册证书号：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建造师执业印章号：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安全生产考核合格证书号：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电子信箱：</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通信地址：</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承包人对项目经理的授权范围如下：</w:t>
      </w:r>
      <w:r>
        <w:rPr>
          <w:rFonts w:hint="eastAsia" w:ascii="宋体" w:hAnsi="宋体" w:cs="宋体"/>
          <w:bCs/>
          <w:color w:val="000000" w:themeColor="text1"/>
          <w:sz w:val="24"/>
          <w:highlight w:val="none"/>
          <w:u w:val="single"/>
          <w14:textFill>
            <w14:solidFill>
              <w14:schemeClr w14:val="tx1"/>
            </w14:solidFill>
          </w14:textFill>
        </w:rPr>
        <w:t xml:space="preserve">组织与协调现场施工管理工作，履行承包人的权利与义务，且该项目经理必须是投标书中明确的项目经理</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关于项目经理每月在施工现场的时间要求：</w:t>
      </w:r>
      <w:r>
        <w:rPr>
          <w:rFonts w:hint="eastAsia" w:ascii="宋体" w:hAnsi="宋体" w:cs="宋体"/>
          <w:bCs/>
          <w:color w:val="000000" w:themeColor="text1"/>
          <w:sz w:val="24"/>
          <w:highlight w:val="none"/>
          <w:u w:val="single"/>
          <w14:textFill>
            <w14:solidFill>
              <w14:schemeClr w14:val="tx1"/>
            </w14:solidFill>
          </w14:textFill>
        </w:rPr>
        <w:t xml:space="preserve">项目经理必须常驻施工现场，要求其本人每周不少于6日、每天不少于8小时在本工程现场工作，项目经理必须参加每周召开的工程例会，有事必须请假。如项目经理有特殊原因不能保证上述在岗时间的，需征得发包人书面同意后，授权项目副经理全权处理现场事务，且满足上述在岗时间</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承包人未提交劳动合同，以及没有为项目经理缴纳社会保险证明的违约责任：</w:t>
      </w:r>
      <w:r>
        <w:rPr>
          <w:rFonts w:hint="eastAsia" w:ascii="宋体" w:hAnsi="宋体" w:cs="宋体"/>
          <w:bCs/>
          <w:color w:val="000000" w:themeColor="text1"/>
          <w:sz w:val="24"/>
          <w:highlight w:val="none"/>
          <w:u w:val="single"/>
          <w14:textFill>
            <w14:solidFill>
              <w14:schemeClr w14:val="tx1"/>
            </w14:solidFill>
          </w14:textFill>
        </w:rPr>
        <w:t xml:space="preserve">按照通用条款执行</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项目经理未经批准，擅自离开施工现场的违约责任：</w:t>
      </w:r>
      <w:r>
        <w:rPr>
          <w:rFonts w:hint="eastAsia" w:ascii="宋体" w:hAnsi="宋体" w:cs="宋体"/>
          <w:bCs/>
          <w:color w:val="000000" w:themeColor="text1"/>
          <w:sz w:val="24"/>
          <w:highlight w:val="none"/>
          <w:u w:val="single"/>
          <w14:textFill>
            <w14:solidFill>
              <w14:schemeClr w14:val="tx1"/>
            </w14:solidFill>
          </w14:textFill>
        </w:rPr>
        <w:t xml:space="preserve">承包人按2000元/次支付违约金，且采购人有权就此行为向有关部门和单位举报和投诉</w:t>
      </w:r>
      <w:r>
        <w:rPr>
          <w:rFonts w:hint="eastAsia" w:ascii="宋体" w:hAnsi="宋体" w:cs="宋体"/>
          <w:color w:val="000000" w:themeColor="text1"/>
          <w:sz w:val="24"/>
          <w:highlight w:val="none"/>
          <w14:textFill>
            <w14:solidFill>
              <w14:schemeClr w14:val="tx1"/>
            </w14:solidFill>
          </w14:textFill>
        </w:rPr>
        <w:t xml:space="preserve">。  </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3.2.2 承包人擅自更换项目经理的违约责任：</w:t>
      </w:r>
      <w:r>
        <w:rPr>
          <w:rFonts w:hint="eastAsia" w:ascii="宋体" w:hAnsi="宋体" w:cs="宋体"/>
          <w:bCs/>
          <w:color w:val="000000" w:themeColor="text1"/>
          <w:sz w:val="24"/>
          <w:highlight w:val="none"/>
          <w:u w:val="single"/>
          <w14:textFill>
            <w14:solidFill>
              <w14:schemeClr w14:val="tx1"/>
            </w14:solidFill>
          </w14:textFill>
        </w:rPr>
        <w:t xml:space="preserve">承包人的项目经理不得擅自更换，如有特殊原因确需更换，承包人应向发包人提出书面申请，经发包人同意后方可更换，否则将追究承包人违约责任。项目经理变更还必须符合江苏省、镇江市的相关规定并办理相关手续报发包人</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3.2.3 承包人无正当理由拒绝更换项目经理的违约责任：</w:t>
      </w:r>
      <w:r>
        <w:rPr>
          <w:rFonts w:hint="eastAsia" w:ascii="宋体" w:hAnsi="宋体" w:cs="宋体"/>
          <w:bCs/>
          <w:color w:val="000000" w:themeColor="text1"/>
          <w:sz w:val="24"/>
          <w:highlight w:val="none"/>
          <w:u w:val="single"/>
          <w14:textFill>
            <w14:solidFill>
              <w14:schemeClr w14:val="tx1"/>
            </w14:solidFill>
          </w14:textFill>
        </w:rPr>
        <w:t xml:space="preserve">发包人将给予相应的经济处罚（从当期进度款中扣除），且发包人有权终止本合同，追究承包人的违约责任（包括承担发包人的直接损失和间接损失），并按江苏省、镇江市的相关规定报建设主管部门备案</w:t>
      </w: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3.3 承包人人员</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3.3.1 承包人提交项目管理机构及施工现场管理人员安排报告的期限：</w:t>
      </w:r>
      <w:r>
        <w:rPr>
          <w:rFonts w:hint="eastAsia" w:ascii="宋体" w:hAnsi="宋体" w:cs="宋体"/>
          <w:bCs/>
          <w:color w:val="000000" w:themeColor="text1"/>
          <w:sz w:val="24"/>
          <w:highlight w:val="none"/>
          <w:u w:val="single"/>
          <w14:textFill>
            <w14:solidFill>
              <w14:schemeClr w14:val="tx1"/>
            </w14:solidFill>
          </w14:textFill>
        </w:rPr>
        <w:t xml:space="preserve">接到开工通知7天内</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3.3.2 承包人无正当理由拒绝撤换主要施工管理人员的违约责任：</w:t>
      </w:r>
      <w:r>
        <w:rPr>
          <w:rFonts w:hint="eastAsia" w:ascii="宋体" w:hAnsi="宋体" w:cs="宋体"/>
          <w:bCs/>
          <w:color w:val="000000" w:themeColor="text1"/>
          <w:sz w:val="24"/>
          <w:highlight w:val="none"/>
          <w:u w:val="single"/>
          <w14:textFill>
            <w14:solidFill>
              <w14:schemeClr w14:val="tx1"/>
            </w14:solidFill>
          </w14:textFill>
        </w:rPr>
        <w:t xml:space="preserve">承包人按照每人次2000元向发包人支付违约金（从当期进度款扣除），且发包人有权终止本合同</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3.3.3承包人主要施工管理人员离开施工现场的批准要求：</w:t>
      </w:r>
      <w:r>
        <w:rPr>
          <w:rFonts w:hint="eastAsia" w:ascii="宋体" w:hAnsi="宋体" w:cs="宋体"/>
          <w:bCs/>
          <w:color w:val="000000" w:themeColor="text1"/>
          <w:sz w:val="24"/>
          <w:highlight w:val="none"/>
          <w:u w:val="single"/>
          <w14:textFill>
            <w14:solidFill>
              <w14:schemeClr w14:val="tx1"/>
            </w14:solidFill>
          </w14:textFill>
        </w:rPr>
        <w:t xml:space="preserve">提前一天经发包人和监理单位书面批准后方可离开现场</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3.3.4承包人擅自更换主要施工管理人员的违约责任：</w:t>
      </w:r>
      <w:r>
        <w:rPr>
          <w:rFonts w:hint="eastAsia" w:ascii="宋体" w:hAnsi="宋体" w:cs="宋体"/>
          <w:bCs/>
          <w:color w:val="000000" w:themeColor="text1"/>
          <w:sz w:val="24"/>
          <w:highlight w:val="none"/>
          <w:u w:val="single"/>
          <w14:textFill>
            <w14:solidFill>
              <w14:schemeClr w14:val="tx1"/>
            </w14:solidFill>
          </w14:textFill>
        </w:rPr>
        <w:t xml:space="preserve">投标文件中约定的施工管理人员不得擅自更换，如有特殊原因确需更换，承包人应向发包人提出书面申请，发包人同意后方可更换，否则将追究承包人违约责任，违约金为每人次2000元（从当期进度款中扣除），且发包人有权终止本合同</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承包人主要施工管理人员擅自离开施工现场的违约责任：</w:t>
      </w:r>
      <w:r>
        <w:rPr>
          <w:rFonts w:hint="eastAsia" w:ascii="宋体" w:hAnsi="宋体" w:cs="宋体"/>
          <w:bCs/>
          <w:color w:val="000000" w:themeColor="text1"/>
          <w:sz w:val="24"/>
          <w:highlight w:val="none"/>
          <w:u w:val="single"/>
          <w14:textFill>
            <w14:solidFill>
              <w14:schemeClr w14:val="tx1"/>
            </w14:solidFill>
          </w14:textFill>
        </w:rPr>
        <w:t xml:space="preserve">如承包人主要施工管理人员未经发包人批准擅自离开施工现场，按相关规定处理</w:t>
      </w:r>
      <w:r>
        <w:rPr>
          <w:rFonts w:hint="eastAsia" w:ascii="宋体" w:hAnsi="宋体" w:cs="宋体"/>
          <w:color w:val="000000" w:themeColor="text1"/>
          <w:sz w:val="24"/>
          <w:highlight w:val="none"/>
          <w14:textFill>
            <w14:solidFill>
              <w14:schemeClr w14:val="tx1"/>
            </w14:solidFill>
          </w14:textFill>
        </w:rPr>
        <w:t xml:space="preserve">。 </w:t>
      </w:r>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w:t>
      </w:r>
      <w:bookmarkStart w:id="353" w:name="_Toc312677988"/>
      <w:r/>
      <w:bookmarkStart w:id="354" w:name="_Toc292559869"/>
      <w:r/>
      <w:bookmarkStart w:id="355" w:name="_Toc297120459"/>
      <w:r/>
      <w:bookmarkStart w:id="356" w:name="_Toc296944498"/>
      <w:r/>
      <w:bookmarkStart w:id="357" w:name="_Toc296346660"/>
      <w:r/>
      <w:bookmarkStart w:id="358" w:name="_Toc297123492"/>
      <w:r/>
      <w:bookmarkStart w:id="359" w:name="_Toc304295523"/>
      <w:r/>
      <w:bookmarkStart w:id="360" w:name="_Toc303539102"/>
      <w:r/>
      <w:bookmarkStart w:id="361" w:name="_Toc292559364"/>
      <w:r/>
      <w:bookmarkStart w:id="362" w:name="_Toc297216151"/>
      <w:r/>
      <w:bookmarkStart w:id="363" w:name="_Toc296891199"/>
      <w:r/>
      <w:bookmarkStart w:id="364" w:name="_Toc296503159"/>
      <w:r/>
      <w:bookmarkStart w:id="365" w:name="_Toc300934945"/>
      <w:r/>
      <w:bookmarkStart w:id="366" w:name="_Toc297048345"/>
      <w:r/>
      <w:bookmarkStart w:id="367" w:name="_Toc296890987"/>
      <w:r/>
      <w:bookmarkStart w:id="368" w:name="_Toc296347158"/>
      <w:r>
        <w:rPr>
          <w:rFonts w:hint="eastAsia" w:ascii="宋体" w:hAnsi="宋体" w:cs="宋体"/>
          <w:b/>
          <w:bCs/>
          <w:color w:val="000000" w:themeColor="text1"/>
          <w:sz w:val="24"/>
          <w:highlight w:val="none"/>
          <w14:textFill>
            <w14:solidFill>
              <w14:schemeClr w14:val="tx1"/>
            </w14:solidFill>
          </w14:textFill>
        </w:rPr>
        <w:t xml:space="preserve">.5 分包</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bookmarkStart w:id="369" w:name="_Toc304295524"/>
      <w:r/>
      <w:bookmarkStart w:id="370" w:name="_Toc296347159"/>
      <w:r/>
      <w:bookmarkStart w:id="371" w:name="_Toc303539103"/>
      <w:r/>
      <w:bookmarkStart w:id="372" w:name="_Toc296503160"/>
      <w:r/>
      <w:bookmarkStart w:id="373" w:name="_Toc296891200"/>
      <w:r/>
      <w:bookmarkStart w:id="374" w:name="_Toc297048346"/>
      <w:r/>
      <w:bookmarkStart w:id="375" w:name="_Toc296944499"/>
      <w:r/>
      <w:bookmarkStart w:id="376" w:name="_Toc297123493"/>
      <w:r/>
      <w:bookmarkStart w:id="377" w:name="_Toc300934946"/>
      <w:r/>
      <w:bookmarkStart w:id="378" w:name="_Toc297216152"/>
      <w:r/>
      <w:bookmarkStart w:id="379" w:name="_Toc292559870"/>
      <w:r/>
      <w:bookmarkStart w:id="380" w:name="_Toc297120460"/>
      <w:r/>
      <w:bookmarkStart w:id="381" w:name="_Toc296346661"/>
      <w:r/>
      <w:bookmarkStart w:id="382" w:name="_Toc296890988"/>
      <w:r/>
      <w:bookmarkStart w:id="383" w:name="_Toc292559365"/>
      <w:r/>
      <w:bookmarkStart w:id="384" w:name="_Toc312677989"/>
      <w:r/>
      <w:bookmarkStart w:id="385" w:name="_Toc318581158"/>
      <w:r>
        <w:rPr>
          <w:rFonts w:hint="eastAsia" w:ascii="宋体" w:hAnsi="宋体" w:cs="宋体"/>
          <w:color w:val="000000" w:themeColor="text1"/>
          <w:sz w:val="24"/>
          <w:highlight w:val="none"/>
          <w14:textFill>
            <w14:solidFill>
              <w14:schemeClr w14:val="tx1"/>
            </w14:solidFill>
          </w14:textFill>
        </w:rPr>
        <w:t xml:space="preserve">.5.1 分包的一般约定</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禁止分包的工程包括：</w:t>
      </w:r>
      <w:r>
        <w:rPr>
          <w:rFonts w:hint="eastAsia" w:ascii="宋体" w:hAnsi="宋体" w:cs="宋体"/>
          <w:bCs/>
          <w:color w:val="000000" w:themeColor="text1"/>
          <w:sz w:val="24"/>
          <w:highlight w:val="none"/>
          <w:u w:val="single"/>
          <w14:textFill>
            <w14:solidFill>
              <w14:schemeClr w14:val="tx1"/>
            </w14:solidFill>
          </w14:textFill>
        </w:rPr>
        <w:t xml:space="preserve">按通用条款规定</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主体结构、关键性工作的范围：</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Start w:id="386" w:name="_Toc300934947"/>
      <w:r/>
      <w:bookmarkStart w:id="387" w:name="_Toc296944500"/>
      <w:r/>
      <w:bookmarkStart w:id="388" w:name="_Toc296891201"/>
      <w:r/>
      <w:bookmarkStart w:id="389" w:name="_Toc296890989"/>
      <w:r/>
      <w:bookmarkStart w:id="390" w:name="_Toc297216153"/>
      <w:r/>
      <w:bookmarkStart w:id="391" w:name="_Toc296503161"/>
      <w:r/>
      <w:bookmarkStart w:id="392" w:name="_Toc297048347"/>
      <w:r/>
      <w:bookmarkStart w:id="393" w:name="_Toc304295525"/>
      <w:r/>
      <w:bookmarkStart w:id="394" w:name="_Toc296346662"/>
      <w:r/>
      <w:bookmarkStart w:id="395" w:name="_Toc303539104"/>
      <w:r/>
      <w:bookmarkStart w:id="396" w:name="_Toc296347160"/>
      <w:r/>
      <w:bookmarkStart w:id="397" w:name="_Toc297123494"/>
      <w:r/>
      <w:bookmarkStart w:id="398" w:name="_Toc297120461"/>
      <w:r>
        <w:rPr>
          <w:rFonts w:hint="eastAsia" w:ascii="宋体" w:hAnsi="宋体" w:cs="宋体"/>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bookmarkStart w:id="399" w:name="_Toc312677990"/>
      <w:r/>
      <w:bookmarkStart w:id="400" w:name="_Toc318581159"/>
      <w:r>
        <w:rPr>
          <w:rFonts w:hint="eastAsia" w:ascii="宋体" w:hAnsi="宋体" w:cs="宋体"/>
          <w:color w:val="000000" w:themeColor="text1"/>
          <w:sz w:val="24"/>
          <w:highlight w:val="none"/>
          <w14:textFill>
            <w14:solidFill>
              <w14:schemeClr w14:val="tx1"/>
            </w14:solidFill>
          </w14:textFill>
        </w:rPr>
        <w:t xml:space="preserve">.5.2分包的确定</w:t>
      </w:r>
      <w:r/>
    </w:p>
    <w:p>
      <w:pPr>
        <w:ind w:firstLine="480"/>
        <w:spacing w:line="30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允许分包的专业工程包括：</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其他关于分包的约定：</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3.5.3 分包合同价款</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关于分包合同价款支付的约定：</w:t>
      </w:r>
      <w:r>
        <w:rPr>
          <w:rFonts w:hint="eastAsia" w:ascii="宋体" w:hAnsi="宋体" w:cs="宋体"/>
          <w:bCs/>
          <w:color w:val="000000" w:themeColor="text1"/>
          <w:sz w:val="24"/>
          <w:highlight w:val="none"/>
          <w:u w:val="single"/>
          <w14:textFill>
            <w14:solidFill>
              <w14:schemeClr w14:val="tx1"/>
            </w14:solidFill>
          </w14:textFill>
        </w:rPr>
        <w:t xml:space="preserve">按通用条款规定</w:t>
      </w:r>
      <w:r>
        <w:rPr>
          <w:rFonts w:hint="eastAsia" w:ascii="宋体" w:hAnsi="宋体" w:cs="宋体"/>
          <w:color w:val="000000" w:themeColor="text1"/>
          <w:sz w:val="24"/>
          <w:highlight w:val="none"/>
          <w14:textFill>
            <w14:solidFill>
              <w14:schemeClr w14:val="tx1"/>
            </w14:solidFill>
          </w14:textFill>
        </w:rPr>
        <w:t xml:space="preserve">。</w:t>
      </w:r>
      <w:bookmarkEnd w:id="399"/>
      <w:bookmarkEnd w:id="400"/>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3.6 工程照管与成品、半成品保护</w:t>
      </w:r>
      <w:r/>
    </w:p>
    <w:p>
      <w:pPr>
        <w:ind w:firstLine="480"/>
        <w:spacing w:line="30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承包人负责照管工程及工程相关的材料、工程设备的起始时间：</w:t>
      </w:r>
      <w:r>
        <w:rPr>
          <w:rFonts w:hint="eastAsia" w:ascii="宋体" w:hAnsi="宋体" w:cs="宋体"/>
          <w:bCs/>
          <w:color w:val="000000" w:themeColor="text1"/>
          <w:sz w:val="24"/>
          <w:highlight w:val="none"/>
          <w:u w:val="single"/>
          <w14:textFill>
            <w14:solidFill>
              <w14:schemeClr w14:val="tx1"/>
            </w14:solidFill>
          </w14:textFill>
        </w:rPr>
        <w:t xml:space="preserve">竣工交付前，由承包人负责，由此产生的相关费用由承包人承担</w:t>
      </w: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3.7 履约担保</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承包人是否提供履约担保：</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承包人提供履约担保的形式、金额及期限的：</w:t>
      </w:r>
      <w:bookmarkStart w:id="401" w:name="_Toc351203636"/>
      <w:r>
        <w:rPr>
          <w:rFonts w:hint="eastAsia" w:ascii="宋体" w:hAnsi="宋体" w:cs="宋体"/>
          <w:color w:val="000000" w:themeColor="text1"/>
          <w:sz w:val="24"/>
          <w:highlight w:val="none"/>
          <w:u w:val="single"/>
          <w14:textFill>
            <w14:solidFill>
              <w14:schemeClr w14:val="tx1"/>
            </w14:solidFill>
          </w14:textFill>
        </w:rPr>
        <w:t xml:space="preserve">     </w:t>
      </w:r>
      <w:r/>
    </w:p>
    <w:p>
      <w:pPr>
        <w:pStyle w:val="849"/>
        <w:ind w:firstLine="482"/>
        <w:spacing w:before="0" w:after="0" w:line="300" w:lineRule="auto"/>
        <w:rPr>
          <w:rFonts w:ascii="宋体" w:hAnsi="宋体" w:eastAsia="宋体" w:cs="宋体"/>
          <w:bCs w:val="0"/>
          <w:color w:val="000000" w:themeColor="text1"/>
          <w:sz w:val="24"/>
          <w:szCs w:val="24"/>
          <w:highlight w:val="none"/>
          <w:lang w:eastAsia="zh-CN"/>
          <w14:textFill>
            <w14:solidFill>
              <w14:schemeClr w14:val="tx1"/>
            </w14:solidFill>
          </w14:textFill>
        </w:rPr>
      </w:pPr>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4</w:t>
      </w:r>
      <w:bookmarkStart w:id="402" w:name="_Toc296891202"/>
      <w:r/>
      <w:bookmarkStart w:id="403" w:name="_Toc292559366"/>
      <w:r/>
      <w:bookmarkStart w:id="404" w:name="_Toc297120462"/>
      <w:r/>
      <w:bookmarkStart w:id="405" w:name="_Toc296944501"/>
      <w:r/>
      <w:bookmarkStart w:id="406" w:name="_Toc297048348"/>
      <w:r/>
      <w:bookmarkStart w:id="407" w:name="_Toc296890990"/>
      <w:r/>
      <w:bookmarkStart w:id="408" w:name="_Toc296347161"/>
      <w:r/>
      <w:bookmarkStart w:id="409" w:name="_Toc296503162"/>
      <w:r/>
      <w:bookmarkStart w:id="410" w:name="_Toc296346663"/>
      <w:r/>
      <w:bookmarkStart w:id="411" w:name="_Toc292559871"/>
      <w:r/>
      <w:bookmarkStart w:id="412" w:name="_Toc267251413"/>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 监</w:t>
      </w:r>
      <w:bookmarkEnd w:id="402"/>
      <w:r/>
      <w:bookmarkEnd w:id="403"/>
      <w:r/>
      <w:bookmarkEnd w:id="404"/>
      <w:r/>
      <w:bookmarkEnd w:id="405"/>
      <w:r/>
      <w:bookmarkEnd w:id="406"/>
      <w:r/>
      <w:bookmarkEnd w:id="407"/>
      <w:r/>
      <w:bookmarkEnd w:id="408"/>
      <w:r/>
      <w:bookmarkEnd w:id="409"/>
      <w:r/>
      <w:bookmarkEnd w:id="410"/>
      <w:r/>
      <w:bookmarkEnd w:id="411"/>
      <w:r/>
      <w:bookmarkEnd w:id="412"/>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理人</w:t>
      </w:r>
      <w:bookmarkEnd w:id="401"/>
      <w:r/>
      <w:r/>
    </w:p>
    <w:p>
      <w:pPr>
        <w:ind w:firstLine="482"/>
        <w:spacing w:line="30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4.1监理人的一般规定</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关于监理人的监理内容：</w:t>
      </w:r>
      <w:r>
        <w:rPr>
          <w:rFonts w:hint="eastAsia" w:ascii="宋体" w:hAnsi="宋体" w:cs="宋体"/>
          <w:bCs/>
          <w:color w:val="000000" w:themeColor="text1"/>
          <w:sz w:val="24"/>
          <w:highlight w:val="none"/>
          <w:u w:val="single"/>
          <w14:textFill>
            <w14:solidFill>
              <w14:schemeClr w14:val="tx1"/>
            </w14:solidFill>
          </w14:textFill>
        </w:rPr>
        <w:t xml:space="preserve">四控两管一协调，即对工程进行进度、质量、投资、安全四控制，合同管理、信息管理，监督安全生产，协调施工现场各方面关系</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关于监理人的监理权限：</w:t>
      </w:r>
      <w:r>
        <w:rPr>
          <w:rFonts w:hint="eastAsia" w:ascii="宋体" w:hAnsi="宋体" w:cs="宋体"/>
          <w:bCs/>
          <w:color w:val="000000" w:themeColor="text1"/>
          <w:sz w:val="24"/>
          <w:highlight w:val="none"/>
          <w:u w:val="single"/>
          <w14:textFill>
            <w14:solidFill>
              <w14:schemeClr w14:val="tx1"/>
            </w14:solidFill>
          </w14:textFill>
        </w:rPr>
        <w:t xml:space="preserve">涉及工程造价的签证、设计变更、开工令、停工令、复工令、工程延期、施工索赔、隐蔽工程验收、标准的确认、分包单位（如有）的确认、支付工程款、材料的确认以及工程施工过程中需要发生造价变更工作，均需要得到发包人的批准后才能生效</w:t>
      </w:r>
      <w:r>
        <w:rPr>
          <w:rFonts w:hint="eastAsia" w:ascii="宋体" w:hAnsi="宋体" w:cs="宋体"/>
          <w:color w:val="000000" w:themeColor="text1"/>
          <w:sz w:val="24"/>
          <w:highlight w:val="none"/>
          <w14:textFill>
            <w14:solidFill>
              <w14:schemeClr w14:val="tx1"/>
            </w14:solidFill>
          </w14:textFill>
        </w:rPr>
        <w:t xml:space="preserve">。 </w:t>
      </w:r>
      <w:r/>
    </w:p>
    <w:p>
      <w:pPr>
        <w:ind w:firstLine="480"/>
        <w:spacing w:line="30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关于监理人在施工现场的办公场所、生活场所的提供和费用承担的约定：</w:t>
      </w:r>
      <w:r>
        <w:rPr>
          <w:rFonts w:hint="eastAsia" w:ascii="宋体" w:hAnsi="宋体" w:cs="宋体"/>
          <w:color w:val="000000" w:themeColor="text1"/>
          <w:sz w:val="24"/>
          <w:highlight w:val="none"/>
          <w:u w:val="single"/>
          <w14:textFill>
            <w14:solidFill>
              <w14:schemeClr w14:val="tx1"/>
            </w14:solidFill>
          </w14:textFill>
        </w:rPr>
        <w:t xml:space="preserve"> / </w:t>
      </w:r>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4.2 监理人员</w:t>
      </w:r>
      <w:r/>
    </w:p>
    <w:p>
      <w:pPr>
        <w:ind w:firstLine="480"/>
        <w:spacing w:line="30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总监理工程师：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职务：</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监理工程师执业资格证书号：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电子信箱：</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通信地址：</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关于监理人的其他约定：</w:t>
      </w:r>
      <w:r>
        <w:rPr>
          <w:rFonts w:hint="eastAsia" w:ascii="宋体" w:hAnsi="宋体" w:cs="宋体"/>
          <w:bCs/>
          <w:color w:val="000000" w:themeColor="text1"/>
          <w:sz w:val="24"/>
          <w:highlight w:val="none"/>
          <w:u w:val="single"/>
          <w14:textFill>
            <w14:solidFill>
              <w14:schemeClr w14:val="tx1"/>
            </w14:solidFill>
          </w14:textFill>
        </w:rPr>
        <w:t xml:space="preserve">按通用条款规定</w:t>
      </w: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4.3 商定或确定</w:t>
      </w:r>
      <w:r/>
    </w:p>
    <w:p>
      <w:pPr>
        <w:ind w:firstLine="480"/>
        <w:spacing w:line="300" w:lineRule="auto"/>
        <w:rPr>
          <w:rFonts w:ascii="宋体" w:hAnsi="宋体" w:cs="宋体"/>
          <w:color w:val="000000" w:themeColor="text1"/>
          <w:sz w:val="24"/>
          <w:highlight w:val="none"/>
          <w14:textFill>
            <w14:solidFill>
              <w14:schemeClr w14:val="tx1"/>
            </w14:solidFill>
          </w14:textFill>
        </w:rPr>
      </w:pPr>
      <w:r/>
      <w:bookmarkStart w:id="413" w:name="_Toc267251418"/>
      <w:r>
        <w:rPr>
          <w:rFonts w:hint="eastAsia" w:ascii="宋体" w:hAnsi="宋体" w:cs="宋体"/>
          <w:color w:val="000000" w:themeColor="text1"/>
          <w:sz w:val="24"/>
          <w:highlight w:val="none"/>
          <w14:textFill>
            <w14:solidFill>
              <w14:schemeClr w14:val="tx1"/>
            </w14:solidFill>
          </w14:textFill>
        </w:rPr>
        <w:t xml:space="preserve">在发包人和承包人不能通过协商达成一致意见时，发包人授权监理人对以下事项进行确定：</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bCs/>
          <w:color w:val="000000" w:themeColor="text1"/>
          <w:sz w:val="24"/>
          <w:highlight w:val="none"/>
          <w:u w:val="single"/>
          <w14:textFill>
            <w14:solidFill>
              <w14:schemeClr w14:val="tx1"/>
            </w14:solidFill>
          </w14:textFill>
        </w:rPr>
        <w:t xml:space="preserve">按监理合同专用条款执行</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pStyle w:val="849"/>
        <w:ind w:firstLine="482"/>
        <w:spacing w:before="0" w:after="0" w:line="300" w:lineRule="auto"/>
        <w:rPr>
          <w:rFonts w:ascii="宋体" w:hAnsi="宋体" w:eastAsia="宋体" w:cs="宋体"/>
          <w:bCs w:val="0"/>
          <w:color w:val="000000" w:themeColor="text1"/>
          <w:sz w:val="24"/>
          <w:szCs w:val="24"/>
          <w:highlight w:val="none"/>
          <w:lang w:eastAsia="zh-CN"/>
          <w14:textFill>
            <w14:solidFill>
              <w14:schemeClr w14:val="tx1"/>
            </w14:solidFill>
          </w14:textFill>
        </w:rPr>
      </w:pPr>
      <w:r/>
      <w:bookmarkStart w:id="414" w:name="_Toc351203637"/>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5</w:t>
      </w:r>
      <w:bookmarkEnd w:id="413"/>
      <w:r/>
      <w:bookmarkStart w:id="415" w:name="_Toc297048349"/>
      <w:r/>
      <w:bookmarkStart w:id="416" w:name="_Toc296890991"/>
      <w:r/>
      <w:bookmarkStart w:id="417" w:name="_Toc296503163"/>
      <w:r/>
      <w:bookmarkStart w:id="418" w:name="_Toc296347162"/>
      <w:r/>
      <w:bookmarkStart w:id="419" w:name="_Toc292559872"/>
      <w:r/>
      <w:bookmarkStart w:id="420" w:name="_Toc296346664"/>
      <w:r/>
      <w:bookmarkStart w:id="421" w:name="_Toc296944502"/>
      <w:r/>
      <w:bookmarkStart w:id="422" w:name="_Toc297120463"/>
      <w:r/>
      <w:bookmarkStart w:id="423" w:name="_Toc292559367"/>
      <w:r/>
      <w:bookmarkStart w:id="424" w:name="_Toc296891203"/>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 工程质量</w:t>
      </w:r>
      <w:bookmarkEnd w:id="414"/>
      <w:r/>
      <w:r/>
    </w:p>
    <w:p>
      <w:pPr>
        <w:ind w:firstLine="482"/>
        <w:spacing w:line="30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5.1 质量要求</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bookmarkStart w:id="425" w:name="_Toc300934949"/>
      <w:r/>
      <w:bookmarkStart w:id="426" w:name="_Toc318581164"/>
      <w:r/>
      <w:bookmarkStart w:id="427" w:name="_Toc304295527"/>
      <w:r/>
      <w:bookmarkStart w:id="428" w:name="_Toc303539106"/>
      <w:r/>
      <w:bookmarkStart w:id="429" w:name="_Toc297123496"/>
      <w:r/>
      <w:bookmarkStart w:id="430" w:name="_Toc297216155"/>
      <w:r/>
      <w:bookmarkStart w:id="431" w:name="_Toc312677997"/>
      <w:r>
        <w:rPr>
          <w:rFonts w:hint="eastAsia" w:ascii="宋体" w:hAnsi="宋体" w:cs="宋体"/>
          <w:color w:val="000000" w:themeColor="text1"/>
          <w:sz w:val="24"/>
          <w:highlight w:val="none"/>
          <w14:textFill>
            <w14:solidFill>
              <w14:schemeClr w14:val="tx1"/>
            </w14:solidFill>
          </w14:textFill>
        </w:rPr>
        <w:t xml:space="preserve">.1.1 特殊质量标准和要求：</w:t>
      </w:r>
      <w:r>
        <w:rPr>
          <w:rFonts w:hint="eastAsia" w:ascii="宋体" w:hAnsi="宋体" w:cs="宋体"/>
          <w:bCs/>
          <w:color w:val="000000" w:themeColor="text1"/>
          <w:sz w:val="24"/>
          <w:highlight w:val="none"/>
          <w:u w:val="single"/>
          <w14:textFill>
            <w14:solidFill>
              <w14:schemeClr w14:val="tx1"/>
            </w14:solidFill>
          </w14:textFill>
        </w:rPr>
        <w:t xml:space="preserve">工程质量符合现行相关规定，并达到投标承诺的质量标准等级</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关于工程奖项的约定：</w:t>
      </w:r>
      <w:r>
        <w:rPr>
          <w:rFonts w:hint="eastAsia" w:ascii="宋体" w:hAnsi="宋体" w:cs="宋体"/>
          <w:bCs/>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5.2隐蔽工程检查</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5.2.1承包人提前通知监理人隐蔽工程检查的期限的约定：</w:t>
      </w:r>
      <w:r>
        <w:rPr>
          <w:rFonts w:hint="eastAsia" w:ascii="宋体" w:hAnsi="宋体" w:cs="宋体"/>
          <w:bCs/>
          <w:color w:val="000000" w:themeColor="text1"/>
          <w:sz w:val="24"/>
          <w:highlight w:val="none"/>
          <w:u w:val="single"/>
          <w14:textFill>
            <w14:solidFill>
              <w14:schemeClr w14:val="tx1"/>
            </w14:solidFill>
          </w14:textFill>
        </w:rPr>
        <w:t xml:space="preserve">工程具备隐蔽条件或达到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监理人不能按时进行检查时，应提前</w:t>
      </w:r>
      <w:r>
        <w:rPr>
          <w:rFonts w:hint="eastAsia" w:ascii="宋体" w:hAnsi="宋体" w:cs="宋体"/>
          <w:bCs/>
          <w:color w:val="000000" w:themeColor="text1"/>
          <w:sz w:val="24"/>
          <w:highlight w:val="none"/>
          <w:u w:val="single"/>
          <w14:textFill>
            <w14:solidFill>
              <w14:schemeClr w14:val="tx1"/>
            </w14:solidFill>
          </w14:textFill>
        </w:rPr>
        <w:t xml:space="preserve">24</w:t>
      </w:r>
      <w:r>
        <w:rPr>
          <w:rFonts w:hint="eastAsia" w:ascii="宋体" w:hAnsi="宋体" w:cs="宋体"/>
          <w:color w:val="000000" w:themeColor="text1"/>
          <w:sz w:val="24"/>
          <w:highlight w:val="none"/>
          <w14:textFill>
            <w14:solidFill>
              <w14:schemeClr w14:val="tx1"/>
            </w14:solidFill>
          </w14:textFill>
        </w:rPr>
        <w:t xml:space="preserve">小时提交书面延期要求。</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关于延期最长不得超过：</w:t>
      </w:r>
      <w:r>
        <w:rPr>
          <w:rFonts w:hint="eastAsia" w:ascii="宋体" w:hAnsi="宋体" w:cs="宋体"/>
          <w:bCs/>
          <w:color w:val="000000" w:themeColor="text1"/>
          <w:sz w:val="24"/>
          <w:highlight w:val="none"/>
          <w:u w:val="single"/>
          <w14:textFill>
            <w14:solidFill>
              <w14:schemeClr w14:val="tx1"/>
            </w14:solidFill>
          </w14:textFill>
        </w:rPr>
        <w:t xml:space="preserve">24</w:t>
      </w:r>
      <w:r>
        <w:rPr>
          <w:rFonts w:hint="eastAsia" w:ascii="宋体" w:hAnsi="宋体" w:cs="宋体"/>
          <w:color w:val="000000" w:themeColor="text1"/>
          <w:sz w:val="24"/>
          <w:highlight w:val="none"/>
          <w14:textFill>
            <w14:solidFill>
              <w14:schemeClr w14:val="tx1"/>
            </w14:solidFill>
          </w14:textFill>
        </w:rPr>
        <w:t xml:space="preserve">小时。</w:t>
      </w:r>
      <w:r/>
    </w:p>
    <w:p>
      <w:pPr>
        <w:ind w:firstLine="480"/>
        <w:jc w:val="left"/>
        <w:spacing w:line="30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w:t>
      </w:r>
      <w:bookmarkStart w:id="432" w:name="OLE_LINK20"/>
      <w:r>
        <w:rPr>
          <w:rFonts w:hint="eastAsia" w:ascii="宋体" w:hAnsi="宋体" w:cs="宋体"/>
          <w:color w:val="000000" w:themeColor="text1"/>
          <w:sz w:val="24"/>
          <w:highlight w:val="none"/>
          <w14:textFill>
            <w14:solidFill>
              <w14:schemeClr w14:val="tx1"/>
            </w14:solidFill>
          </w14:textFill>
        </w:rPr>
        <w:t xml:space="preserve">本工程以施工图纸、设计变更和国家制订的最新施工及验收规范为质量评定验收标准。</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5.3.1所有材料进场前须提供质量、环保、安全等检测报告。</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5.3.2 本工程质量应达到最新国家质量评定合格标准。材料进场需经监理、甲方代表确认，提供出厂合格证、检测报告等质量证明材料原件。</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5.3.3本工程应符合国家环保质量要求,否则应承担违约责任并赔偿发包人损失。且承包人承担全部治理费用。</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5.3.4由于承包人原因造成质量事故，其返工费用由承包人承担，工期不顺延。且视为承包人违约，需承担合同价款20%违约金。</w:t>
      </w:r>
      <w:bookmarkEnd w:id="432"/>
      <w:r/>
    </w:p>
    <w:p>
      <w:pPr>
        <w:pStyle w:val="849"/>
        <w:ind w:firstLine="482"/>
        <w:spacing w:before="0" w:after="0" w:line="300" w:lineRule="auto"/>
        <w:rPr>
          <w:rFonts w:ascii="宋体" w:hAnsi="宋体" w:eastAsia="宋体" w:cs="宋体"/>
          <w:bCs w:val="0"/>
          <w:color w:val="000000" w:themeColor="text1"/>
          <w:sz w:val="24"/>
          <w:szCs w:val="24"/>
          <w:highlight w:val="none"/>
          <w:lang w:eastAsia="zh-CN"/>
          <w14:textFill>
            <w14:solidFill>
              <w14:schemeClr w14:val="tx1"/>
            </w14:solidFill>
          </w14:textFill>
        </w:rPr>
      </w:pPr>
      <w:r/>
      <w:bookmarkStart w:id="433" w:name="_Toc351203638"/>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6. 安全文明施工与环境保护</w:t>
      </w:r>
      <w:bookmarkEnd w:id="433"/>
      <w:r/>
      <w:r/>
    </w:p>
    <w:p>
      <w:pPr>
        <w:ind w:firstLine="482"/>
        <w:spacing w:line="30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6.1安全文明施工</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6.1.1 项目安全生产的达标目标及相应事项的约定：</w:t>
      </w:r>
      <w:r>
        <w:rPr>
          <w:rFonts w:hint="eastAsia" w:ascii="宋体" w:hAnsi="宋体" w:cs="宋体"/>
          <w:bCs/>
          <w:color w:val="000000" w:themeColor="text1"/>
          <w:sz w:val="24"/>
          <w:highlight w:val="none"/>
          <w:u w:val="single"/>
          <w14:textFill>
            <w14:solidFill>
              <w14:schemeClr w14:val="tx1"/>
            </w14:solidFill>
          </w14:textFill>
        </w:rPr>
        <w:t xml:space="preserve">承包人在现场的安全管理、教育和安全事故责任由承包人负责，费用含在安全文明施工费中。承包人负责施工现场的安全及第三方的人身财产安全</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6.1.2 关于治安保卫的特别约定：</w:t>
      </w:r>
      <w:r>
        <w:rPr>
          <w:rFonts w:hint="eastAsia" w:ascii="宋体" w:hAnsi="宋体" w:cs="宋体"/>
          <w:bCs/>
          <w:color w:val="000000" w:themeColor="text1"/>
          <w:sz w:val="24"/>
          <w:highlight w:val="none"/>
          <w:u w:val="single"/>
          <w14:textFill>
            <w14:solidFill>
              <w14:schemeClr w14:val="tx1"/>
            </w14:solidFill>
          </w14:textFill>
        </w:rPr>
        <w:t xml:space="preserve">承担施工安全保卫工作及非夜间施工照明的责任和要求，具体如下：①根据监理、发包人批准的施工方案，在施工现场适当地方设置门卫，并安排专人24小</w:t>
      </w:r>
      <w:r>
        <w:rPr>
          <w:rFonts w:hint="eastAsia" w:ascii="宋体" w:hAnsi="宋体" w:cs="宋体"/>
          <w:bCs/>
          <w:color w:val="000000" w:themeColor="text1"/>
          <w:sz w:val="24"/>
          <w:highlight w:val="none"/>
          <w:u w:val="single"/>
          <w14:textFill>
            <w14:solidFill>
              <w14:schemeClr w14:val="tx1"/>
            </w14:solidFill>
          </w14:textFill>
        </w:rPr>
        <w:t xml:space="preserve">时看管；设置治安管理小组，各级职能分工明确，确保现场施工秩序井然，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用条款相关义务造成工程、财产和人身伤害，由承包人承担责任、赔偿损失及支付发生的费用</w:t>
      </w:r>
      <w:r>
        <w:rPr>
          <w:rFonts w:hint="eastAsia" w:ascii="宋体" w:hAnsi="宋体" w:cs="宋体"/>
          <w:bCs/>
          <w:color w:val="000000" w:themeColor="text1"/>
          <w:sz w:val="24"/>
          <w:highlight w:val="none"/>
          <w:u w:val="single"/>
          <w14:textFill>
            <w14:solidFill>
              <w14:schemeClr w14:val="tx1"/>
            </w14:solidFill>
          </w14:textFill>
        </w:rPr>
        <w:t xml:space="preserve">。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万元(直接从工程进度款中扣除)；每发生一起人身伤亡事故，承包人除接受政府相关部门处罚、承担处理事故费用外，承包人还将赔偿发包人违约金1万元(直接从工程进度款中扣除)；每发生一起重大质量安全事故，承包人除接受政府相关部门处罚、承担处理事故费用外，承包人还将赔偿发包人违约金2万元(直接从工程进度款中扣除)。</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关于编制施工场地治安管理计划的约定：</w:t>
      </w:r>
      <w:r>
        <w:rPr>
          <w:rFonts w:hint="eastAsia" w:ascii="宋体" w:hAnsi="宋体" w:cs="宋体"/>
          <w:bCs/>
          <w:color w:val="000000" w:themeColor="text1"/>
          <w:sz w:val="24"/>
          <w:highlight w:val="none"/>
          <w:u w:val="single"/>
          <w14:textFill>
            <w14:solidFill>
              <w14:schemeClr w14:val="tx1"/>
            </w14:solidFill>
          </w14:textFill>
        </w:rPr>
        <w:t xml:space="preserve">由承包人负责施工现场内治安保卫工作，包括：（1）对进入到施工现场的参建单位相关人员的管理；（2）配合公安、交警等部门的管理；（3）施工现场设紧急预案小组，并制定切实有效的紧急预案措施。（4）承担治安管理工作相关费用</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6.1.3 文明施工</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合同当事人对文明施工的要求：</w:t>
      </w:r>
      <w:r>
        <w:rPr>
          <w:rFonts w:hint="eastAsia" w:ascii="宋体" w:hAnsi="宋体" w:cs="宋体"/>
          <w:bCs/>
          <w:color w:val="000000" w:themeColor="text1"/>
          <w:sz w:val="24"/>
          <w:highlight w:val="none"/>
          <w:u w:val="single"/>
          <w14:textFill>
            <w14:solidFill>
              <w14:schemeClr w14:val="tx1"/>
            </w14:solidFill>
          </w14:textFill>
        </w:rPr>
        <w:t xml:space="preserve">施工场地须符合镇江有关主管部门规定的标准化施工现场和文明工地要求，同时应满足市政、市容等相关主管部门的有关规定，承包人违反规定造成的损失和罚款由承包人负责</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6.1.4 关于安全文明施工费支付比例和支付期限的约定：</w:t>
      </w:r>
      <w:r>
        <w:rPr>
          <w:rFonts w:hint="eastAsia" w:ascii="宋体" w:hAnsi="宋体" w:cs="宋体"/>
          <w:bCs/>
          <w:color w:val="000000" w:themeColor="text1"/>
          <w:sz w:val="24"/>
          <w:highlight w:val="none"/>
          <w:u w:val="single"/>
          <w14:textFill>
            <w14:solidFill>
              <w14:schemeClr w14:val="tx1"/>
            </w14:solidFill>
          </w14:textFill>
        </w:rPr>
        <w:t xml:space="preserve">预付款和工程进度款已包含安全文明施工费，承包人对安全文明施工费应专款专用，不得挪作他用，否则发包人有权停止支付工程款并要求承包人限期整改到位</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6.2有关安全生产和防火的约定</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6.2.1发包人提供的作法说明，应符合《中华人民共和国消防法》和有关防火设计规范。</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6.2.2承包人在施工期间应严格遵守《建设工程安全生产管理条例》、《建筑安装工人安全技术操作规程》、《中华人民共和国消防法》和其它相关的法规、规范。</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6.2.3 由于发包人确认的做法说明，违反有关安全操作规程、消防条例和防火设计规范，导致发生安全或火灾事故，发包人应承担由此产生的一切经济损失。承包人施工中需尽提醒、谨慎义务，若承包人未履行，需承担一般过错责任。</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6.2.4 由于承包人在施工生产过程中违反有关安全操作规程、消防条例，导致发生安全或火灾等事故，承包人应承担由此引发的一切经济损失及法律责任。</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6.2.5 本建筑安装施工工程必须达到现行版的国家及江苏省的一切有关法律、法规要求，若本工程实施期间有新的相关法律、法规标准出台，则仍应满足新的标准要求。</w:t>
      </w:r>
      <w:bookmarkEnd w:id="425"/>
      <w:bookmarkEnd w:id="426"/>
      <w:bookmarkEnd w:id="427"/>
      <w:bookmarkEnd w:id="428"/>
      <w:bookmarkEnd w:id="429"/>
      <w:bookmarkEnd w:id="430"/>
      <w:bookmarkEnd w:id="431"/>
      <w:r/>
    </w:p>
    <w:p>
      <w:pPr>
        <w:pStyle w:val="849"/>
        <w:ind w:firstLine="482"/>
        <w:spacing w:before="0" w:after="0" w:line="300" w:lineRule="auto"/>
        <w:rPr>
          <w:rFonts w:ascii="宋体" w:hAnsi="宋体" w:eastAsia="宋体" w:cs="宋体"/>
          <w:bCs w:val="0"/>
          <w:color w:val="000000" w:themeColor="text1"/>
          <w:sz w:val="24"/>
          <w:szCs w:val="24"/>
          <w:highlight w:val="none"/>
          <w:lang w:eastAsia="zh-CN"/>
          <w14:textFill>
            <w14:solidFill>
              <w14:schemeClr w14:val="tx1"/>
            </w14:solidFill>
          </w14:textFill>
        </w:rPr>
      </w:pPr>
      <w:r/>
      <w:bookmarkStart w:id="434" w:name="_Toc351203639"/>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7. 工期和进度</w:t>
      </w:r>
      <w:bookmarkEnd w:id="434"/>
      <w:r/>
      <w:r/>
    </w:p>
    <w:p>
      <w:pPr>
        <w:ind w:firstLine="482"/>
        <w:spacing w:line="30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7.1 施工组织设计</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7.1.1 合同当事人约定的施工组织设计应包括的其他内容：</w:t>
      </w:r>
      <w:r>
        <w:rPr>
          <w:rFonts w:hint="eastAsia" w:ascii="宋体" w:hAnsi="宋体" w:cs="宋体"/>
          <w:bCs/>
          <w:color w:val="000000" w:themeColor="text1"/>
          <w:sz w:val="24"/>
          <w:highlight w:val="none"/>
          <w:u w:val="single"/>
          <w14:textFill>
            <w14:solidFill>
              <w14:schemeClr w14:val="tx1"/>
            </w14:solidFill>
          </w14:textFill>
        </w:rPr>
        <w:t xml:space="preserve">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7.1.2 施工组织设计的提交和修改</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承包人提交详细施工组织设计的期限的约定：</w:t>
      </w:r>
      <w:r>
        <w:rPr>
          <w:rFonts w:hint="eastAsia" w:ascii="宋体" w:hAnsi="宋体" w:cs="宋体"/>
          <w:bCs/>
          <w:color w:val="000000" w:themeColor="text1"/>
          <w:sz w:val="24"/>
          <w:highlight w:val="none"/>
          <w:u w:val="single"/>
          <w14:textFill>
            <w14:solidFill>
              <w14:schemeClr w14:val="tx1"/>
            </w14:solidFill>
          </w14:textFill>
        </w:rPr>
        <w:t xml:space="preserve">承包人于开工前7日提交施工组织设计，在各专项工程施工至少提前7日提交专项施工方案，有特殊要求的于施工前3日内上报施工方案。每月5日报本月的施工进度计划，每周五报周进度计划</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发包人和监理人在收到详细的施工组织设计后确认或提出修改意见的期限：</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7</w:t>
      </w:r>
      <w:bookmarkStart w:id="435" w:name="_Toc300934966"/>
      <w:r/>
      <w:bookmarkStart w:id="436" w:name="_Toc312677479"/>
      <w:r/>
      <w:bookmarkStart w:id="437" w:name="_Toc297123514"/>
      <w:r/>
      <w:bookmarkStart w:id="438" w:name="_Toc297216173"/>
      <w:r/>
      <w:bookmarkStart w:id="439" w:name="_Toc303539123"/>
      <w:r/>
      <w:bookmarkStart w:id="440" w:name="_Toc312678005"/>
      <w:r/>
      <w:bookmarkStart w:id="441" w:name="_Toc304295541"/>
      <w:r>
        <w:rPr>
          <w:rFonts w:hint="eastAsia" w:ascii="宋体" w:hAnsi="宋体" w:cs="宋体"/>
          <w:b/>
          <w:bCs/>
          <w:color w:val="000000" w:themeColor="text1"/>
          <w:sz w:val="24"/>
          <w:highlight w:val="none"/>
          <w14:textFill>
            <w14:solidFill>
              <w14:schemeClr w14:val="tx1"/>
            </w14:solidFill>
          </w14:textFill>
        </w:rPr>
        <w:t xml:space="preserve">.2 施工进度计划</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7.2.1 施工进度计划的修订</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发包人和监理人在收到修订的施工进度计划后确认或提出修改意见的期限：</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7.3 开工</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7.3.1 开工准备</w:t>
      </w:r>
      <w:r/>
    </w:p>
    <w:p>
      <w:pPr>
        <w:ind w:firstLine="480"/>
        <w:jc w:val="left"/>
        <w:spacing w:line="30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关于承包人提交工程开工报审表的期限：</w:t>
      </w:r>
      <w:r>
        <w:rPr>
          <w:rFonts w:hint="eastAsia" w:ascii="宋体" w:hAnsi="宋体" w:cs="宋体"/>
          <w:bCs/>
          <w:color w:val="000000" w:themeColor="text1"/>
          <w:sz w:val="24"/>
          <w:highlight w:val="none"/>
          <w:u w:val="single"/>
          <w14:textFill>
            <w14:solidFill>
              <w14:schemeClr w14:val="tx1"/>
            </w14:solidFill>
          </w14:textFill>
        </w:rPr>
        <w:t xml:space="preserve">接到开工令后3日内</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关于发包人应完成的其他开工准备工作及期限：</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关于承包人应完成的其他开工准备工作及期限：</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7.3.2开工通知 </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因发包人原因造成监理人未能在计划开工日期之日起</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天内发出开工通知的，承包人有权提出价格调整要求，或者解除合同。</w:t>
      </w:r>
      <w:bookmarkEnd w:id="435"/>
      <w:bookmarkEnd w:id="436"/>
      <w:bookmarkEnd w:id="437"/>
      <w:bookmarkEnd w:id="438"/>
      <w:bookmarkEnd w:id="439"/>
      <w:bookmarkEnd w:id="440"/>
      <w:bookmarkEnd w:id="441"/>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7.4 测量放线</w:t>
      </w:r>
      <w:r/>
    </w:p>
    <w:p>
      <w:pPr>
        <w:ind w:firstLine="480"/>
        <w:jc w:val="left"/>
        <w:spacing w:line="30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7.4.1发包人通过监理人向承包人提供测量基准点、基准线和水准点及其书面资料的期限：</w:t>
      </w:r>
      <w:r>
        <w:rPr>
          <w:rFonts w:hint="eastAsia" w:ascii="宋体" w:hAnsi="宋体" w:cs="宋体"/>
          <w:bCs/>
          <w:color w:val="000000" w:themeColor="text1"/>
          <w:sz w:val="24"/>
          <w:highlight w:val="none"/>
          <w:u w:val="single"/>
          <w14:textFill>
            <w14:solidFill>
              <w14:schemeClr w14:val="tx1"/>
            </w14:solidFill>
          </w14:textFill>
        </w:rPr>
        <w:t xml:space="preserve">按通用条款规定</w:t>
      </w: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7</w:t>
      </w:r>
      <w:bookmarkStart w:id="442" w:name="_Toc312677484"/>
      <w:r/>
      <w:bookmarkStart w:id="443" w:name="_Toc312678010"/>
      <w:r/>
      <w:bookmarkStart w:id="444" w:name="_Toc303539125"/>
      <w:r/>
      <w:bookmarkStart w:id="445" w:name="_Toc300934968"/>
      <w:r/>
      <w:bookmarkStart w:id="446" w:name="_Toc304295546"/>
      <w:r/>
      <w:bookmarkStart w:id="447" w:name="_Toc297216175"/>
      <w:r/>
      <w:bookmarkStart w:id="448" w:name="_Toc297123516"/>
      <w:r>
        <w:rPr>
          <w:rFonts w:hint="eastAsia" w:ascii="宋体" w:hAnsi="宋体" w:cs="宋体"/>
          <w:b/>
          <w:bCs/>
          <w:color w:val="000000" w:themeColor="text1"/>
          <w:sz w:val="24"/>
          <w:highlight w:val="none"/>
          <w14:textFill>
            <w14:solidFill>
              <w14:schemeClr w14:val="tx1"/>
            </w14:solidFill>
          </w14:textFill>
        </w:rPr>
        <w:t xml:space="preserve">.5 工期延误</w:t>
      </w:r>
      <w:bookmarkEnd w:id="442"/>
      <w:bookmarkEnd w:id="443"/>
      <w:bookmarkEnd w:id="444"/>
      <w:bookmarkEnd w:id="445"/>
      <w:bookmarkEnd w:id="446"/>
      <w:bookmarkEnd w:id="447"/>
      <w:bookmarkEnd w:id="448"/>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7.5.1 因发包人原因导致工期延误</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7.5.1.1因发包人原因导致工期延误的其他情形：</w:t>
      </w:r>
      <w:r>
        <w:rPr>
          <w:rFonts w:hint="eastAsia" w:ascii="宋体" w:hAnsi="宋体" w:cs="宋体"/>
          <w:bCs/>
          <w:color w:val="000000" w:themeColor="text1"/>
          <w:sz w:val="24"/>
          <w:highlight w:val="none"/>
          <w:u w:val="single"/>
          <w14:textFill>
            <w14:solidFill>
              <w14:schemeClr w14:val="tx1"/>
            </w14:solidFill>
          </w14:textFill>
        </w:rPr>
        <w:t xml:space="preserve">①发包人未能及时提供设计变更修改图；②一周内因发包人原因停水、停电、停气造成停工累计超过8小时。③不可抗力；④其余按本合同《通用条款》执行。由于发包人原因延误工期的，工期相应顺延，但无费用索赔</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bookmarkStart w:id="449" w:name="_Toc312678012"/>
      <w:r/>
      <w:bookmarkStart w:id="450" w:name="_Toc318581169"/>
      <w:r/>
      <w:bookmarkStart w:id="451" w:name="_Toc312677486"/>
      <w:r/>
      <w:bookmarkStart w:id="452" w:name="_Toc304295548"/>
      <w:r/>
      <w:bookmarkStart w:id="453" w:name="_Toc300934970"/>
      <w:r/>
      <w:bookmarkStart w:id="454" w:name="_Toc297123518"/>
      <w:r/>
      <w:bookmarkStart w:id="455" w:name="_Toc297216177"/>
      <w:r/>
      <w:bookmarkStart w:id="456" w:name="_Toc303539127"/>
      <w:r>
        <w:rPr>
          <w:rFonts w:hint="eastAsia" w:ascii="宋体" w:hAnsi="宋体" w:cs="宋体"/>
          <w:color w:val="000000" w:themeColor="text1"/>
          <w:sz w:val="24"/>
          <w:highlight w:val="none"/>
          <w14:textFill>
            <w14:solidFill>
              <w14:schemeClr w14:val="tx1"/>
            </w14:solidFill>
          </w14:textFill>
        </w:rPr>
        <w:t xml:space="preserve">.5.2 因承包人原因导致工期延误</w:t>
      </w:r>
      <w:bookmarkEnd w:id="449"/>
      <w:bookmarkEnd w:id="450"/>
      <w:bookmarkEnd w:id="451"/>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因</w:t>
      </w:r>
      <w:bookmarkStart w:id="457" w:name="_Toc312678013"/>
      <w:r/>
      <w:bookmarkStart w:id="458" w:name="_Toc312677487"/>
      <w:r/>
      <w:bookmarkStart w:id="459" w:name="_Toc318581170"/>
      <w:r>
        <w:rPr>
          <w:rFonts w:hint="eastAsia" w:ascii="宋体" w:hAnsi="宋体" w:cs="宋体"/>
          <w:color w:val="000000" w:themeColor="text1"/>
          <w:sz w:val="24"/>
          <w:highlight w:val="none"/>
          <w14:textFill>
            <w14:solidFill>
              <w14:schemeClr w14:val="tx1"/>
            </w14:solidFill>
          </w14:textFill>
        </w:rPr>
        <w:t xml:space="preserve">承包人原因造成工期延误，逾期竣工违约金的计算方法为：</w:t>
      </w:r>
      <w:bookmarkEnd w:id="452"/>
      <w:r/>
      <w:bookmarkEnd w:id="453"/>
      <w:r/>
      <w:bookmarkEnd w:id="454"/>
      <w:r/>
      <w:bookmarkEnd w:id="455"/>
      <w:r/>
      <w:bookmarkEnd w:id="456"/>
      <w:r/>
      <w:bookmarkEnd w:id="457"/>
      <w:r/>
      <w:bookmarkEnd w:id="458"/>
      <w:r>
        <w:rPr>
          <w:rFonts w:hint="eastAsia" w:ascii="宋体" w:hAnsi="宋体" w:cs="宋体"/>
          <w:bCs/>
          <w:color w:val="000000" w:themeColor="text1"/>
          <w:sz w:val="24"/>
          <w:highlight w:val="none"/>
          <w:u w:val="single"/>
          <w14:textFill>
            <w14:solidFill>
              <w14:schemeClr w14:val="tx1"/>
            </w14:solidFill>
          </w14:textFill>
        </w:rPr>
        <w:t xml:space="preserve"> 由于承包方造成的工期延误（不可抗力除外），工期不能顺延，由此引起的赶工措施等费用增加均由承包方自行承担；同时承包方应承担违约责任,并向发包方支付违约金,按照该合同工期延误15天后每推迟一天,违约金为合同价款的千分之一。发包方可从应向承包方支付的任何款项中扣除此违约金,此违约金的支付并不能解除承包方完成工程的责任和合同规定的其它责任。</w:t>
      </w:r>
      <w:r/>
    </w:p>
    <w:p>
      <w:pPr>
        <w:ind w:firstLine="480"/>
        <w:jc w:val="left"/>
        <w:spacing w:line="30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因设计变更或非乙方原因造成的停电、停水、停气及不可抗力因素影响，导致停工8小时以上（一周内累计计算）工期相应顺延。</w:t>
      </w:r>
      <w:bookmarkEnd w:id="459"/>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因承包人原因造成工期延误，逾</w:t>
      </w:r>
      <w:bookmarkStart w:id="460" w:name="_Toc312678014"/>
      <w:r/>
      <w:bookmarkStart w:id="461" w:name="_Toc318581171"/>
      <w:r>
        <w:rPr>
          <w:rFonts w:hint="eastAsia" w:ascii="宋体" w:hAnsi="宋体" w:cs="宋体"/>
          <w:color w:val="000000" w:themeColor="text1"/>
          <w:sz w:val="24"/>
          <w:highlight w:val="none"/>
          <w14:textFill>
            <w14:solidFill>
              <w14:schemeClr w14:val="tx1"/>
            </w14:solidFill>
          </w14:textFill>
        </w:rPr>
        <w:t xml:space="preserve">期竣工违约金的上限：</w:t>
      </w:r>
      <w:r>
        <w:rPr>
          <w:rFonts w:hint="eastAsia" w:ascii="宋体" w:hAnsi="宋体" w:cs="宋体"/>
          <w:color w:val="000000" w:themeColor="text1"/>
          <w:sz w:val="24"/>
          <w:highlight w:val="none"/>
          <w:u w:val="single"/>
          <w14:textFill>
            <w14:solidFill>
              <w14:schemeClr w14:val="tx1"/>
            </w14:solidFill>
          </w14:textFill>
        </w:rPr>
        <w:t xml:space="preserve">不超过实际损失的30%</w:t>
      </w:r>
      <w:r>
        <w:rPr>
          <w:rFonts w:hint="eastAsia" w:ascii="宋体" w:hAnsi="宋体" w:cs="宋体"/>
          <w:color w:val="000000" w:themeColor="text1"/>
          <w:sz w:val="24"/>
          <w:highlight w:val="none"/>
          <w14:textFill>
            <w14:solidFill>
              <w14:schemeClr w14:val="tx1"/>
            </w14:solidFill>
          </w14:textFill>
        </w:rPr>
        <w:t xml:space="preserve">。</w:t>
      </w:r>
      <w:bookmarkEnd w:id="460"/>
      <w:bookmarkEnd w:id="461"/>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7</w:t>
      </w:r>
      <w:bookmarkStart w:id="462" w:name="_Toc297216178"/>
      <w:r/>
      <w:bookmarkStart w:id="463" w:name="_Toc304295549"/>
      <w:r/>
      <w:bookmarkStart w:id="464" w:name="_Toc303539128"/>
      <w:r/>
      <w:bookmarkStart w:id="465" w:name="_Toc300934971"/>
      <w:r/>
      <w:bookmarkStart w:id="466" w:name="_Toc297123519"/>
      <w:r/>
      <w:bookmarkStart w:id="467" w:name="_Toc312678015"/>
      <w:r>
        <w:rPr>
          <w:rFonts w:hint="eastAsia" w:ascii="宋体" w:hAnsi="宋体" w:cs="宋体"/>
          <w:b/>
          <w:bCs/>
          <w:color w:val="000000" w:themeColor="text1"/>
          <w:sz w:val="24"/>
          <w:highlight w:val="none"/>
          <w14:textFill>
            <w14:solidFill>
              <w14:schemeClr w14:val="tx1"/>
            </w14:solidFill>
          </w14:textFill>
        </w:rPr>
        <w:t xml:space="preserve">.6 不</w:t>
      </w:r>
      <w:bookmarkEnd w:id="462"/>
      <w:r/>
      <w:bookmarkEnd w:id="463"/>
      <w:r/>
      <w:bookmarkEnd w:id="464"/>
      <w:r/>
      <w:bookmarkEnd w:id="465"/>
      <w:r/>
      <w:bookmarkEnd w:id="466"/>
      <w:r/>
      <w:bookmarkEnd w:id="467"/>
      <w:r>
        <w:rPr>
          <w:rFonts w:hint="eastAsia" w:ascii="宋体" w:hAnsi="宋体" w:cs="宋体"/>
          <w:b/>
          <w:bCs/>
          <w:color w:val="000000" w:themeColor="text1"/>
          <w:sz w:val="24"/>
          <w:highlight w:val="none"/>
          <w14:textFill>
            <w14:solidFill>
              <w14:schemeClr w14:val="tx1"/>
            </w14:solidFill>
          </w14:textFill>
        </w:rPr>
        <w:t xml:space="preserve">利物质条件</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bookmarkStart w:id="468" w:name="_Toc318581172"/>
      <w:r/>
      <w:bookmarkStart w:id="469" w:name="_Toc300934972"/>
      <w:r/>
      <w:bookmarkStart w:id="470" w:name="_Toc303539129"/>
      <w:r/>
      <w:bookmarkStart w:id="471" w:name="_Toc304295550"/>
      <w:r/>
      <w:bookmarkStart w:id="472" w:name="_Toc297123520"/>
      <w:r/>
      <w:bookmarkStart w:id="473" w:name="_Toc312678016"/>
      <w:r/>
      <w:bookmarkStart w:id="474" w:name="_Toc297216179"/>
      <w:r>
        <w:rPr>
          <w:rFonts w:hint="eastAsia" w:ascii="宋体" w:hAnsi="宋体" w:cs="宋体"/>
          <w:color w:val="000000" w:themeColor="text1"/>
          <w:sz w:val="24"/>
          <w:highlight w:val="none"/>
          <w14:textFill>
            <w14:solidFill>
              <w14:schemeClr w14:val="tx1"/>
            </w14:solidFill>
          </w14:textFill>
        </w:rPr>
        <w:t xml:space="preserve">不利物质条件的其他情形和有关约定：</w:t>
      </w:r>
      <w:r>
        <w:rPr>
          <w:rFonts w:hint="eastAsia" w:ascii="宋体" w:hAnsi="宋体" w:cs="宋体"/>
          <w:bCs/>
          <w:color w:val="000000" w:themeColor="text1"/>
          <w:sz w:val="24"/>
          <w:highlight w:val="none"/>
          <w:u w:val="single"/>
          <w14:textFill>
            <w14:solidFill>
              <w14:schemeClr w14:val="tx1"/>
            </w14:solidFill>
          </w14:textFill>
        </w:rPr>
        <w:t xml:space="preserve"> 按本合同《通用条款》执行</w:t>
      </w:r>
      <w:r>
        <w:rPr>
          <w:rFonts w:hint="eastAsia" w:ascii="宋体" w:hAnsi="宋体" w:cs="宋体"/>
          <w:color w:val="000000" w:themeColor="text1"/>
          <w:sz w:val="24"/>
          <w:highlight w:val="none"/>
          <w14:textFill>
            <w14:solidFill>
              <w14:schemeClr w14:val="tx1"/>
            </w14:solidFill>
          </w14:textFill>
        </w:rPr>
        <w:t xml:space="preserve">。</w:t>
      </w:r>
      <w:bookmarkEnd w:id="468"/>
      <w:bookmarkEnd w:id="469"/>
      <w:bookmarkEnd w:id="470"/>
      <w:bookmarkEnd w:id="471"/>
      <w:bookmarkEnd w:id="472"/>
      <w:bookmarkEnd w:id="473"/>
      <w:bookmarkEnd w:id="474"/>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7</w:t>
      </w:r>
      <w:bookmarkStart w:id="475" w:name="_Toc312678017"/>
      <w:r/>
      <w:bookmarkStart w:id="476" w:name="_Toc300934973"/>
      <w:r/>
      <w:bookmarkStart w:id="477" w:name="_Toc297123521"/>
      <w:r/>
      <w:bookmarkStart w:id="478" w:name="_Toc304295551"/>
      <w:r/>
      <w:bookmarkStart w:id="479" w:name="_Toc303539130"/>
      <w:r/>
      <w:bookmarkStart w:id="480" w:name="_Toc297216180"/>
      <w:r>
        <w:rPr>
          <w:rFonts w:hint="eastAsia" w:ascii="宋体" w:hAnsi="宋体" w:cs="宋体"/>
          <w:b/>
          <w:bCs/>
          <w:color w:val="000000" w:themeColor="text1"/>
          <w:sz w:val="24"/>
          <w:highlight w:val="none"/>
          <w14:textFill>
            <w14:solidFill>
              <w14:schemeClr w14:val="tx1"/>
            </w14:solidFill>
          </w14:textFill>
        </w:rPr>
        <w:t xml:space="preserve">.7异常恶劣的气候条件</w:t>
      </w:r>
      <w:bookmarkEnd w:id="475"/>
      <w:bookmarkEnd w:id="476"/>
      <w:bookmarkEnd w:id="477"/>
      <w:bookmarkEnd w:id="478"/>
      <w:bookmarkEnd w:id="479"/>
      <w:bookmarkEnd w:id="480"/>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发包人和承包人同意以下情形视为异常恶劣的气候条件：</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7.7.1 </w:t>
      </w:r>
      <w:r>
        <w:rPr>
          <w:rFonts w:hint="eastAsia" w:ascii="宋体" w:hAnsi="宋体" w:cs="宋体"/>
          <w:bCs/>
          <w:color w:val="000000" w:themeColor="text1"/>
          <w:sz w:val="24"/>
          <w:highlight w:val="none"/>
          <w:u w:val="single"/>
          <w14:textFill>
            <w14:solidFill>
              <w14:schemeClr w14:val="tx1"/>
            </w14:solidFill>
          </w14:textFill>
        </w:rPr>
        <w:t xml:space="preserve">11级以上大风</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7.7.2 </w:t>
      </w:r>
      <w:r>
        <w:rPr>
          <w:rFonts w:hint="eastAsia" w:ascii="宋体" w:hAnsi="宋体" w:cs="宋体"/>
          <w:bCs/>
          <w:color w:val="000000" w:themeColor="text1"/>
          <w:sz w:val="24"/>
          <w:highlight w:val="none"/>
          <w:u w:val="single"/>
          <w14:textFill>
            <w14:solidFill>
              <w14:schemeClr w14:val="tx1"/>
            </w14:solidFill>
          </w14:textFill>
        </w:rPr>
        <w:t xml:space="preserve">24小时降雨量超过150mm；24小时积雪厚度大于400mm；当地气象部门认定的50年一遇的雨、雪、洪灾</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7.7.3 </w:t>
      </w:r>
      <w:r>
        <w:rPr>
          <w:rFonts w:hint="eastAsia" w:ascii="宋体" w:hAnsi="宋体" w:cs="宋体"/>
          <w:bCs/>
          <w:color w:val="000000" w:themeColor="text1"/>
          <w:sz w:val="24"/>
          <w:highlight w:val="none"/>
          <w:u w:val="single"/>
          <w14:textFill>
            <w14:solidFill>
              <w14:schemeClr w14:val="tx1"/>
            </w14:solidFill>
          </w14:textFill>
        </w:rPr>
        <w:t xml:space="preserve">六级及以上地震；非发包人、承包人责任造成的爆炸、火灾</w:t>
      </w: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7.8提前竣工的奖励</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7.8.1提前竣工的奖励：</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pStyle w:val="849"/>
        <w:ind w:firstLine="482"/>
        <w:spacing w:before="0" w:after="0" w:line="300" w:lineRule="auto"/>
        <w:rPr>
          <w:rFonts w:ascii="宋体" w:hAnsi="宋体" w:eastAsia="宋体" w:cs="宋体"/>
          <w:bCs w:val="0"/>
          <w:color w:val="000000" w:themeColor="text1"/>
          <w:sz w:val="24"/>
          <w:szCs w:val="24"/>
          <w:highlight w:val="none"/>
          <w:lang w:eastAsia="zh-CN"/>
          <w14:textFill>
            <w14:solidFill>
              <w14:schemeClr w14:val="tx1"/>
            </w14:solidFill>
          </w14:textFill>
        </w:rPr>
      </w:pPr>
      <w:r/>
      <w:bookmarkStart w:id="481" w:name="_Toc351203640"/>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8. 材料与设备</w:t>
      </w:r>
      <w:bookmarkEnd w:id="481"/>
      <w:r/>
      <w:bookmarkEnd w:id="415"/>
      <w:bookmarkEnd w:id="416"/>
      <w:bookmarkEnd w:id="417"/>
      <w:bookmarkEnd w:id="418"/>
      <w:bookmarkEnd w:id="419"/>
      <w:bookmarkEnd w:id="420"/>
      <w:bookmarkEnd w:id="421"/>
      <w:bookmarkEnd w:id="422"/>
      <w:bookmarkEnd w:id="423"/>
      <w:bookmarkEnd w:id="424"/>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8</w:t>
      </w:r>
      <w:bookmarkStart w:id="482" w:name="_Toc300934979"/>
      <w:r/>
      <w:bookmarkStart w:id="483" w:name="_Toc297123527"/>
      <w:r/>
      <w:bookmarkStart w:id="484" w:name="_Toc292559372"/>
      <w:r/>
      <w:bookmarkStart w:id="485" w:name="_Toc296503167"/>
      <w:r/>
      <w:bookmarkStart w:id="486" w:name="_Toc297048353"/>
      <w:r/>
      <w:bookmarkStart w:id="487" w:name="_Toc297120467"/>
      <w:r/>
      <w:bookmarkStart w:id="488" w:name="_Toc303539136"/>
      <w:r/>
      <w:bookmarkStart w:id="489" w:name="_Toc296347166"/>
      <w:r/>
      <w:bookmarkStart w:id="490" w:name="_Toc280868654"/>
      <w:r/>
      <w:bookmarkStart w:id="491" w:name="_Toc296890995"/>
      <w:r/>
      <w:bookmarkStart w:id="492" w:name="_Toc312677493"/>
      <w:r/>
      <w:bookmarkStart w:id="493" w:name="_Toc296944506"/>
      <w:r/>
      <w:bookmarkStart w:id="494" w:name="_Toc304295556"/>
      <w:r/>
      <w:bookmarkStart w:id="495" w:name="_Toc292559877"/>
      <w:r/>
      <w:bookmarkStart w:id="496" w:name="_Toc297216186"/>
      <w:r/>
      <w:bookmarkStart w:id="497" w:name="_Toc312678019"/>
      <w:r/>
      <w:bookmarkStart w:id="498" w:name="_Toc296346668"/>
      <w:r/>
      <w:bookmarkStart w:id="499" w:name="_Toc296891207"/>
      <w:r/>
      <w:bookmarkStart w:id="500" w:name="_Toc280868655"/>
      <w:r/>
      <w:bookmarkStart w:id="501" w:name="_Toc280868656"/>
      <w:r/>
      <w:bookmarkStart w:id="502" w:name="_Toc267251424"/>
      <w:r>
        <w:rPr>
          <w:rFonts w:hint="eastAsia" w:ascii="宋体" w:hAnsi="宋体" w:cs="宋体"/>
          <w:b/>
          <w:bCs/>
          <w:color w:val="000000" w:themeColor="text1"/>
          <w:sz w:val="24"/>
          <w:highlight w:val="none"/>
          <w14:textFill>
            <w14:solidFill>
              <w14:schemeClr w14:val="tx1"/>
            </w14:solidFill>
          </w14:textFill>
        </w:rPr>
        <w:t xml:space="preserve">.1材料与工程设备的保管与使用</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bookmarkStart w:id="503" w:name="_Toc292559878"/>
      <w:r/>
      <w:bookmarkStart w:id="504" w:name="_Toc292559373"/>
      <w:r/>
      <w:bookmarkStart w:id="505" w:name="_Toc318581173"/>
      <w:r/>
      <w:bookmarkStart w:id="506" w:name="_Toc296503168"/>
      <w:r/>
      <w:bookmarkStart w:id="507" w:name="_Toc304295557"/>
      <w:r/>
      <w:bookmarkStart w:id="508" w:name="_Toc312677494"/>
      <w:r/>
      <w:bookmarkStart w:id="509" w:name="_Toc296891208"/>
      <w:r/>
      <w:bookmarkStart w:id="510" w:name="_Toc297123528"/>
      <w:r/>
      <w:bookmarkStart w:id="511" w:name="_Toc312678020"/>
      <w:r/>
      <w:bookmarkStart w:id="512" w:name="_Toc300934980"/>
      <w:r/>
      <w:bookmarkStart w:id="513" w:name="_Toc296944507"/>
      <w:r/>
      <w:bookmarkStart w:id="514" w:name="_Toc296347167"/>
      <w:r/>
      <w:bookmarkStart w:id="515" w:name="_Toc297216187"/>
      <w:r/>
      <w:bookmarkStart w:id="516" w:name="_Toc303539137"/>
      <w:r/>
      <w:bookmarkStart w:id="517" w:name="_Toc297120468"/>
      <w:r/>
      <w:bookmarkStart w:id="518" w:name="_Toc296890996"/>
      <w:r/>
      <w:bookmarkStart w:id="519" w:name="_Toc297048354"/>
      <w:r/>
      <w:bookmarkStart w:id="520" w:name="_Toc296346669"/>
      <w:r>
        <w:rPr>
          <w:rFonts w:hint="eastAsia" w:ascii="宋体" w:hAnsi="宋体" w:cs="宋体"/>
          <w:color w:val="000000" w:themeColor="text1"/>
          <w:sz w:val="24"/>
          <w:highlight w:val="none"/>
          <w14:textFill>
            <w14:solidFill>
              <w14:schemeClr w14:val="tx1"/>
            </w14:solidFill>
          </w14:textFill>
        </w:rPr>
        <w:t xml:space="preserve">.1.1发包人供应的材料设备的保管费用的承担：</w:t>
      </w:r>
      <w:r>
        <w:rPr>
          <w:rFonts w:hint="eastAsia" w:ascii="宋体" w:hAnsi="宋体" w:cs="宋体"/>
          <w:bCs/>
          <w:color w:val="000000" w:themeColor="text1"/>
          <w:sz w:val="24"/>
          <w:highlight w:val="none"/>
          <w:u w:val="single"/>
          <w14:textFill>
            <w14:solidFill>
              <w14:schemeClr w14:val="tx1"/>
            </w14:solidFill>
          </w14:textFill>
        </w:rPr>
        <w:t xml:space="preserve">发包人供应的材料设备的保管费用含在响应报价中，发包人不另行支付，承包人承担所供应设备的保管费用 </w:t>
      </w:r>
      <w:r>
        <w:rPr>
          <w:rFonts w:hint="eastAsia" w:ascii="宋体" w:hAnsi="宋体" w:cs="宋体"/>
          <w:color w:val="000000" w:themeColor="text1"/>
          <w:sz w:val="24"/>
          <w:highlight w:val="none"/>
          <w14:textFill>
            <w14:solidFill>
              <w14:schemeClr w14:val="tx1"/>
            </w14:solidFill>
          </w14:textFill>
        </w:rPr>
        <w:t xml:space="preserve">。</w:t>
      </w:r>
      <w:bookmarkEnd w:id="503"/>
      <w:r/>
      <w:bookmarkEnd w:id="504"/>
      <w:r/>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8.2样品</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8.2.1</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 xml:space="preserve">样品的报送与封存</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需要承包人报送样品的材料或工程设备，样品的种类、名称、规格、数量要求：</w:t>
      </w:r>
      <w:r>
        <w:rPr>
          <w:rFonts w:hint="eastAsia" w:ascii="宋体" w:hAnsi="宋体" w:cs="宋体"/>
          <w:bCs/>
          <w:color w:val="000000" w:themeColor="text1"/>
          <w:sz w:val="24"/>
          <w:highlight w:val="none"/>
          <w:u w:val="single"/>
          <w14:textFill>
            <w14:solidFill>
              <w14:schemeClr w14:val="tx1"/>
            </w14:solidFill>
          </w14:textFill>
        </w:rPr>
        <w:t xml:space="preserve">用于本工程之任何材料，在使用前必须得到发包人和发包人授权的监理工程师认可或批准，必须符合有关规范、设计图纸、招标文件规定的质量及品牌要求，并提供产品合格证明、质保证书，承包人不得擅自更改招标文件中约定的主要材料品牌、规格和质量等级。在施工前，承包人须提供各有关物料之样品作发包人与监理认可之用。发包人与监理对任何样品之认可或批准，并不能解除承包人按合同须履行之责任及义务</w:t>
      </w: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8.3 施工设备和临时设施</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8.3.1 承包人提供的施工设备和临时设施</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关于修建临时设施费用承担的约定：</w:t>
      </w:r>
      <w:r>
        <w:rPr>
          <w:rFonts w:hint="eastAsia" w:ascii="宋体" w:hAnsi="宋体" w:cs="宋体"/>
          <w:bCs/>
          <w:color w:val="000000" w:themeColor="text1"/>
          <w:sz w:val="24"/>
          <w:highlight w:val="none"/>
          <w:u w:val="single"/>
          <w14:textFill>
            <w14:solidFill>
              <w14:schemeClr w14:val="tx1"/>
            </w14:solidFill>
          </w14:textFill>
        </w:rPr>
        <w:t xml:space="preserve">修建临时设施费用均由承包人承担，工程竣工后一周内负责将临时设施全部拆除并清运出场。建筑物周边及场内道路等设施如有损坏，承包人应负责修复。本项目建筑及生活垃圾由承包人在竣工验收后一周内全部运至发包人单位外的合法垃圾场，费用含在响应报价中</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8.4凡由承包人采购的材料及配件、设备，如不符合质量要求或规格有差异，应禁止使用。若已使用，对工程造成的损失由承包人负责。并且视为承包人违约，需承担违约金，且赔偿发包人的一切损失。</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8.5工程项目中所用所有主材必须征得发包人认可，发包人保留主材甲供的权利。承包人提供主材需提前7日报送3家以上品牌供发包人选择。</w:t>
      </w:r>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r/>
    </w:p>
    <w:p>
      <w:pPr>
        <w:pStyle w:val="849"/>
        <w:ind w:firstLine="482"/>
        <w:spacing w:before="0" w:after="0" w:line="300" w:lineRule="auto"/>
        <w:rPr>
          <w:rFonts w:ascii="宋体" w:hAnsi="宋体" w:eastAsia="宋体" w:cs="宋体"/>
          <w:bCs w:val="0"/>
          <w:color w:val="000000" w:themeColor="text1"/>
          <w:sz w:val="24"/>
          <w:szCs w:val="24"/>
          <w:highlight w:val="none"/>
          <w:lang w:eastAsia="zh-CN"/>
          <w14:textFill>
            <w14:solidFill>
              <w14:schemeClr w14:val="tx1"/>
            </w14:solidFill>
          </w14:textFill>
        </w:rPr>
      </w:pPr>
      <w:r/>
      <w:bookmarkStart w:id="521" w:name="_Toc351203641"/>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9</w:t>
      </w:r>
      <w:bookmarkEnd w:id="500"/>
      <w:r/>
      <w:bookmarkEnd w:id="501"/>
      <w:r/>
      <w:bookmarkEnd w:id="502"/>
      <w:r/>
      <w:bookmarkStart w:id="522" w:name="_Toc304295559"/>
      <w:r/>
      <w:bookmarkStart w:id="523" w:name="_Toc312678021"/>
      <w:r/>
      <w:bookmarkStart w:id="524" w:name="_Toc300934982"/>
      <w:r/>
      <w:bookmarkStart w:id="525" w:name="_Toc312677495"/>
      <w:r/>
      <w:bookmarkStart w:id="526" w:name="_Toc297216192"/>
      <w:r/>
      <w:bookmarkStart w:id="527" w:name="_Toc297123533"/>
      <w:r/>
      <w:bookmarkStart w:id="528" w:name="_Toc303539139"/>
      <w:r/>
      <w:bookmarkStart w:id="529" w:name="_Toc296503173"/>
      <w:r/>
      <w:bookmarkStart w:id="530" w:name="_Toc267251427"/>
      <w:r/>
      <w:bookmarkStart w:id="531" w:name="_Toc296944512"/>
      <w:r/>
      <w:bookmarkStart w:id="532" w:name="_Toc292559378"/>
      <w:r/>
      <w:bookmarkStart w:id="533" w:name="_Toc296346674"/>
      <w:r/>
      <w:bookmarkStart w:id="534" w:name="_Toc297120473"/>
      <w:r/>
      <w:bookmarkStart w:id="535" w:name="_Toc296891001"/>
      <w:r/>
      <w:bookmarkStart w:id="536" w:name="_Toc292559883"/>
      <w:r/>
      <w:bookmarkStart w:id="537" w:name="_Toc297048359"/>
      <w:r/>
      <w:bookmarkStart w:id="538" w:name="_Toc296347172"/>
      <w:r/>
      <w:bookmarkStart w:id="539" w:name="_Toc296891213"/>
      <w:r/>
      <w:bookmarkStart w:id="540" w:name="_Toc267251428"/>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 试验与检验</w:t>
      </w:r>
      <w:bookmarkEnd w:id="521"/>
      <w:r/>
      <w:bookmarkEnd w:id="522"/>
      <w:bookmarkEnd w:id="523"/>
      <w:bookmarkEnd w:id="524"/>
      <w:bookmarkEnd w:id="525"/>
      <w:bookmarkEnd w:id="526"/>
      <w:bookmarkEnd w:id="527"/>
      <w:bookmarkEnd w:id="528"/>
      <w:r/>
    </w:p>
    <w:p>
      <w:pPr>
        <w:ind w:firstLine="482"/>
        <w:spacing w:line="30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9</w:t>
      </w:r>
      <w:bookmarkStart w:id="541" w:name="_Toc300934983"/>
      <w:r/>
      <w:bookmarkStart w:id="542" w:name="_Toc297123534"/>
      <w:r/>
      <w:bookmarkStart w:id="543" w:name="_Toc303539140"/>
      <w:r/>
      <w:bookmarkStart w:id="544" w:name="_Toc297216193"/>
      <w:r/>
      <w:bookmarkStart w:id="545" w:name="_Toc312678022"/>
      <w:r/>
      <w:bookmarkStart w:id="546" w:name="_Toc304295560"/>
      <w:r/>
      <w:bookmarkStart w:id="547" w:name="_Toc312677496"/>
      <w:r>
        <w:rPr>
          <w:rFonts w:hint="eastAsia" w:ascii="宋体" w:hAnsi="宋体" w:cs="宋体"/>
          <w:b/>
          <w:color w:val="000000" w:themeColor="text1"/>
          <w:sz w:val="24"/>
          <w:highlight w:val="none"/>
          <w14:textFill>
            <w14:solidFill>
              <w14:schemeClr w14:val="tx1"/>
            </w14:solidFill>
          </w14:textFill>
        </w:rPr>
        <w:t xml:space="preserve">.1试验设备与试验人员</w:t>
      </w:r>
      <w:bookmarkEnd w:id="541"/>
      <w:bookmarkEnd w:id="542"/>
      <w:bookmarkEnd w:id="543"/>
      <w:bookmarkEnd w:id="544"/>
      <w:bookmarkEnd w:id="545"/>
      <w:bookmarkEnd w:id="546"/>
      <w:bookmarkEnd w:id="547"/>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bookmarkStart w:id="548" w:name="_Toc297216194"/>
      <w:r/>
      <w:bookmarkStart w:id="549" w:name="_Toc312678023"/>
      <w:r/>
      <w:bookmarkStart w:id="550" w:name="_Toc297123535"/>
      <w:r/>
      <w:bookmarkStart w:id="551" w:name="_Toc300934984"/>
      <w:r/>
      <w:bookmarkStart w:id="552" w:name="_Toc312677497"/>
      <w:r/>
      <w:bookmarkStart w:id="553" w:name="_Toc304295561"/>
      <w:r/>
      <w:bookmarkStart w:id="554" w:name="_Toc303539141"/>
      <w:r/>
      <w:bookmarkStart w:id="555" w:name="_Toc318581174"/>
      <w:r>
        <w:rPr>
          <w:rFonts w:hint="eastAsia" w:ascii="宋体" w:hAnsi="宋体" w:cs="宋体"/>
          <w:color w:val="000000" w:themeColor="text1"/>
          <w:sz w:val="24"/>
          <w:highlight w:val="none"/>
          <w14:textFill>
            <w14:solidFill>
              <w14:schemeClr w14:val="tx1"/>
            </w14:solidFill>
          </w14:textFill>
        </w:rPr>
        <w:t xml:space="preserve">.1.1试验设备</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施工现场需要配置的试验场所：</w:t>
      </w:r>
      <w:bookmarkEnd w:id="548"/>
      <w:r/>
      <w:bookmarkEnd w:id="549"/>
      <w:r/>
      <w:bookmarkEnd w:id="550"/>
      <w:r/>
      <w:bookmarkEnd w:id="551"/>
      <w:r/>
      <w:bookmarkEnd w:id="552"/>
      <w:r/>
      <w:bookmarkEnd w:id="553"/>
      <w:r/>
      <w:bookmarkEnd w:id="554"/>
      <w:r/>
      <w:bookmarkStart w:id="556" w:name="_Toc312678024"/>
      <w:r/>
      <w:bookmarkStart w:id="557" w:name="_Toc300934985"/>
      <w:r/>
      <w:bookmarkStart w:id="558" w:name="_Toc312677498"/>
      <w:r/>
      <w:bookmarkStart w:id="559" w:name="_Toc303539142"/>
      <w:r/>
      <w:bookmarkStart w:id="560" w:name="_Toc297216195"/>
      <w:r/>
      <w:bookmarkStart w:id="561" w:name="_Toc297123536"/>
      <w:r/>
      <w:bookmarkStart w:id="562" w:name="_Toc304295562"/>
      <w:r>
        <w:rPr>
          <w:rFonts w:hint="eastAsia" w:ascii="宋体" w:hAnsi="宋体" w:cs="宋体"/>
          <w:bCs/>
          <w:color w:val="000000" w:themeColor="text1"/>
          <w:sz w:val="24"/>
          <w:highlight w:val="none"/>
          <w:u w:val="single"/>
          <w14:textFill>
            <w14:solidFill>
              <w14:schemeClr w14:val="tx1"/>
            </w14:solidFill>
          </w14:textFill>
        </w:rPr>
        <w:t xml:space="preserve">按通用条款规定</w:t>
      </w:r>
      <w:r>
        <w:rPr>
          <w:rFonts w:hint="eastAsia" w:ascii="宋体" w:hAnsi="宋体" w:cs="宋体"/>
          <w:color w:val="000000" w:themeColor="text1"/>
          <w:sz w:val="24"/>
          <w:highlight w:val="none"/>
          <w14:textFill>
            <w14:solidFill>
              <w14:schemeClr w14:val="tx1"/>
            </w14:solidFill>
          </w14:textFill>
        </w:rPr>
        <w:t xml:space="preserve">。 </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施工现场需要配备的试验设备：</w:t>
      </w:r>
      <w:r>
        <w:rPr>
          <w:rFonts w:hint="eastAsia" w:ascii="宋体" w:hAnsi="宋体" w:cs="宋体"/>
          <w:bCs/>
          <w:color w:val="000000" w:themeColor="text1"/>
          <w:sz w:val="24"/>
          <w:highlight w:val="none"/>
          <w:u w:val="single"/>
          <w14:textFill>
            <w14:solidFill>
              <w14:schemeClr w14:val="tx1"/>
            </w14:solidFill>
          </w14:textFill>
        </w:rPr>
        <w:t xml:space="preserve">按通用条款规定</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施工现场需要具备的其他试验条件：</w:t>
      </w:r>
      <w:r>
        <w:rPr>
          <w:rFonts w:hint="eastAsia" w:ascii="宋体" w:hAnsi="宋体" w:cs="宋体"/>
          <w:bCs/>
          <w:color w:val="000000" w:themeColor="text1"/>
          <w:sz w:val="24"/>
          <w:highlight w:val="none"/>
          <w:u w:val="single"/>
          <w14:textFill>
            <w14:solidFill>
              <w14:schemeClr w14:val="tx1"/>
            </w14:solidFill>
          </w14:textFill>
        </w:rPr>
        <w:t xml:space="preserve">按通用条款规定</w:t>
      </w: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9.2现场工艺试验 </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现场工艺试验的有关约定：</w:t>
      </w:r>
      <w:r>
        <w:rPr>
          <w:rFonts w:hint="eastAsia" w:ascii="宋体" w:hAnsi="宋体" w:cs="宋体"/>
          <w:bCs/>
          <w:color w:val="000000" w:themeColor="text1"/>
          <w:sz w:val="24"/>
          <w:highlight w:val="none"/>
          <w:u w:val="single"/>
          <w14:textFill>
            <w14:solidFill>
              <w14:schemeClr w14:val="tx1"/>
            </w14:solidFill>
          </w14:textFill>
        </w:rPr>
        <w:t xml:space="preserve">按通用条款规定</w:t>
      </w:r>
      <w:r>
        <w:rPr>
          <w:rFonts w:hint="eastAsia" w:ascii="宋体" w:hAnsi="宋体" w:cs="宋体"/>
          <w:color w:val="000000" w:themeColor="text1"/>
          <w:sz w:val="24"/>
          <w:highlight w:val="none"/>
          <w14:textFill>
            <w14:solidFill>
              <w14:schemeClr w14:val="tx1"/>
            </w14:solidFill>
          </w14:textFill>
        </w:rPr>
        <w:t xml:space="preserve">。</w:t>
      </w:r>
      <w:bookmarkEnd w:id="555"/>
      <w:bookmarkEnd w:id="556"/>
      <w:bookmarkEnd w:id="557"/>
      <w:bookmarkEnd w:id="558"/>
      <w:bookmarkEnd w:id="559"/>
      <w:bookmarkEnd w:id="560"/>
      <w:bookmarkEnd w:id="561"/>
      <w:bookmarkEnd w:id="562"/>
      <w:r/>
    </w:p>
    <w:p>
      <w:pPr>
        <w:pStyle w:val="849"/>
        <w:ind w:firstLine="482"/>
        <w:spacing w:before="0" w:after="0" w:line="300" w:lineRule="auto"/>
        <w:rPr>
          <w:rFonts w:ascii="宋体" w:hAnsi="宋体" w:eastAsia="宋体" w:cs="宋体"/>
          <w:bCs w:val="0"/>
          <w:color w:val="000000" w:themeColor="text1"/>
          <w:sz w:val="24"/>
          <w:szCs w:val="24"/>
          <w:highlight w:val="none"/>
          <w:lang w:eastAsia="zh-CN"/>
          <w14:textFill>
            <w14:solidFill>
              <w14:schemeClr w14:val="tx1"/>
            </w14:solidFill>
          </w14:textFill>
        </w:rPr>
      </w:pPr>
      <w:r/>
      <w:bookmarkStart w:id="563" w:name="_Toc351203642"/>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1</w:t>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Start w:id="564" w:name="_Toc292559398"/>
      <w:r/>
      <w:bookmarkStart w:id="565" w:name="_Toc296503193"/>
      <w:r/>
      <w:bookmarkStart w:id="566" w:name="_Toc297120493"/>
      <w:r/>
      <w:bookmarkStart w:id="567" w:name="_Toc296346694"/>
      <w:r/>
      <w:bookmarkStart w:id="568" w:name="_Toc303539146"/>
      <w:r/>
      <w:bookmarkStart w:id="569" w:name="_Toc296944532"/>
      <w:r/>
      <w:bookmarkStart w:id="570" w:name="_Toc297216199"/>
      <w:r/>
      <w:bookmarkStart w:id="571" w:name="_Toc296891233"/>
      <w:r/>
      <w:bookmarkStart w:id="572" w:name="_Toc300934989"/>
      <w:r/>
      <w:bookmarkStart w:id="573" w:name="_Toc297048379"/>
      <w:r/>
      <w:bookmarkStart w:id="574" w:name="_Toc296347192"/>
      <w:r/>
      <w:bookmarkStart w:id="575" w:name="_Toc297123540"/>
      <w:r/>
      <w:bookmarkStart w:id="576" w:name="_Toc304295566"/>
      <w:r/>
      <w:bookmarkStart w:id="577" w:name="_Toc296891021"/>
      <w:r/>
      <w:bookmarkStart w:id="578" w:name="_Toc292559903"/>
      <w:r/>
      <w:bookmarkStart w:id="579" w:name="_Toc312678025"/>
      <w:r/>
      <w:bookmarkStart w:id="580" w:name="_Toc312677499"/>
      <w:r/>
      <w:bookmarkStart w:id="581" w:name="_Toc267251437"/>
      <w:r/>
      <w:bookmarkStart w:id="582" w:name="_Toc267251433"/>
      <w:r/>
      <w:bookmarkStart w:id="583" w:name="_Toc267251439"/>
      <w:r/>
      <w:bookmarkStart w:id="584" w:name="_Toc267251440"/>
      <w:r/>
      <w:bookmarkStart w:id="585" w:name="_Toc267251435"/>
      <w:r/>
      <w:bookmarkStart w:id="586" w:name="_Toc267251441"/>
      <w:r/>
      <w:bookmarkStart w:id="587" w:name="_Toc267251442"/>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0. 变更</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bookmarkEnd w:id="580"/>
      <w:r/>
    </w:p>
    <w:p>
      <w:pPr>
        <w:ind w:firstLine="482"/>
        <w:spacing w:line="30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w:t>
      </w:r>
      <w:bookmarkStart w:id="588" w:name="_Toc296944533"/>
      <w:r/>
      <w:bookmarkStart w:id="589" w:name="_Toc303539147"/>
      <w:r/>
      <w:bookmarkStart w:id="590" w:name="_Toc297216200"/>
      <w:r/>
      <w:bookmarkStart w:id="591" w:name="_Toc304295567"/>
      <w:r/>
      <w:bookmarkStart w:id="592" w:name="_Toc296346695"/>
      <w:r/>
      <w:bookmarkStart w:id="593" w:name="_Toc297120494"/>
      <w:r/>
      <w:bookmarkStart w:id="594" w:name="_Toc296891234"/>
      <w:r/>
      <w:bookmarkStart w:id="595" w:name="_Toc292559904"/>
      <w:r/>
      <w:bookmarkStart w:id="596" w:name="_Toc296503194"/>
      <w:r/>
      <w:bookmarkStart w:id="597" w:name="_Toc312678026"/>
      <w:r/>
      <w:bookmarkStart w:id="598" w:name="_Toc312677500"/>
      <w:r/>
      <w:bookmarkStart w:id="599" w:name="_Toc296891022"/>
      <w:r/>
      <w:bookmarkStart w:id="600" w:name="_Toc297123541"/>
      <w:r/>
      <w:bookmarkStart w:id="601" w:name="_Toc296347193"/>
      <w:r/>
      <w:bookmarkStart w:id="602" w:name="_Toc300934990"/>
      <w:r/>
      <w:bookmarkStart w:id="603" w:name="_Toc297048380"/>
      <w:r/>
      <w:bookmarkStart w:id="604" w:name="_Toc292559399"/>
      <w:r>
        <w:rPr>
          <w:rFonts w:hint="eastAsia" w:ascii="宋体" w:hAnsi="宋体" w:cs="宋体"/>
          <w:b/>
          <w:color w:val="000000" w:themeColor="text1"/>
          <w:sz w:val="24"/>
          <w:highlight w:val="none"/>
          <w14:textFill>
            <w14:solidFill>
              <w14:schemeClr w14:val="tx1"/>
            </w14:solidFill>
          </w14:textFill>
        </w:rPr>
        <w:t xml:space="preserve">0.1变更的范围</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关于变更的范围的约定：</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1）施工中发包人需对原工程进行设计变更，应提前7天以书面形式向承包人发出变更通知。变更超过原设计标准或批准的建设规模需要重新报批或重新审图时，发包人应报规划管理部门和其他相关部门重新审查准，并由原设计单位提供变更的相应图纸及说明。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（2）承包人不得对原设计擅自进行变更，由此造成的经济损失及工期延后由承包人自行承担，并赔偿发包人有关损失。</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3）承包人在施工中提出合理化建议及涉及到对设计图纸或施工组织设计的更改及对材料、设备的代换，须经设计单位、总监理工程师及发包人书面同意。未经同意擅自更改的，承包人承担由此发生的费用，并赔偿发包人有关损失，工期不得延后。</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发包人采用承包人合理化建议，所发生的费用和获得的收益，发包人、承包人另行约定。</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（4）合同履行中发包人要求变更工程质量标准及发生其他实质性变更，由双方协商解决。</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（5）发包人保留变更或调整工程量的权力，承包人不得拒绝变更，更不得以变更为由提出不合理的要求；</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（6）承包人必须按发包人要求完成变更工作，否则发包人有权交由第三方承包人完成，并按第三方承包人报价的双倍作为违约金扣减承包人的合同价款。</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（7）因设计变更导致工期的顺延以监理工程师审核、发包人批准为准。</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8）设计单位出具的设计变更必须得到发包人的批准。承包人不得直接从设计单位取得设计变更，或者以贿赂等不正当手段影响本工程的设计师进行变更。否则，由此增加的工程费用由承包人承担，工期不予顺延</w:t>
      </w: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10.2 变更估价</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10.2.1 变更估价原则</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关于变更估价的约定:</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（1）已标价工程量清单中有适用于变更工程的子目，采用该子目的单价。</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（2）已标价工程量清单中无适用于变更工程的子目，但有类似子目，可在合理范围内参照类似子目的单价，由监理、跟踪审计核定综合单价报发包人批准或者由发包人与承包人商定。</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上述“与响应报价中项目类似的”新增项目，指与响应分部分项工程量清单项目编码一至九位完全相同的新增的分部分项工程。</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（3）已标价工程量清单中无适用或类似子目的单价，由承包人编制变更综合单价，经监理、跟踪审计核定综合单价，并报发包人批准后作为结算依据。计价原则：（1）《建</w:t>
      </w:r>
      <w:r>
        <w:rPr>
          <w:rFonts w:hint="eastAsia" w:ascii="宋体" w:hAnsi="宋体" w:cs="宋体"/>
          <w:bCs/>
          <w:color w:val="000000" w:themeColor="text1"/>
          <w:sz w:val="24"/>
          <w:highlight w:val="none"/>
          <w:u w:val="single"/>
          <w14:textFill>
            <w14:solidFill>
              <w14:schemeClr w14:val="tx1"/>
            </w14:solidFill>
          </w14:textFill>
        </w:rPr>
        <w:t xml:space="preserve">设工程工程量清单计价规范》（GB50500-2013）、《江苏省建筑与装饰工程计价表》、《江苏省安装工程计价表》（2014）（缺项部分参照相关行业定额），以及江苏省、镇江市建设行政主管部门颁布的其他工程造价规范性文件和规定；（2）材料价格按照同期建设主管部门颁布的指导价格执行，缺项部分参照市场价：（3）取费标准（包括人工单价、管理费、利润等）执行原响应报价水平（单价或费率）。新增子目的综合单价及材料单价由承包人提出，经监理、跟踪审计审核后，报发包人批准作为最终结算依据；（4）措施项目费调整按清单计价规范执行</w:t>
      </w: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w:t>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Start w:id="605" w:name="_Toc296347196"/>
      <w:r/>
      <w:bookmarkStart w:id="606" w:name="_Toc303539150"/>
      <w:r/>
      <w:bookmarkStart w:id="607" w:name="_Toc292559402"/>
      <w:r/>
      <w:bookmarkStart w:id="608" w:name="_Toc296891237"/>
      <w:r/>
      <w:bookmarkStart w:id="609" w:name="_Toc296503197"/>
      <w:r/>
      <w:bookmarkStart w:id="610" w:name="_Toc292559907"/>
      <w:r/>
      <w:bookmarkStart w:id="611" w:name="_Toc297123544"/>
      <w:r/>
      <w:bookmarkStart w:id="612" w:name="_Toc300934993"/>
      <w:r/>
      <w:bookmarkStart w:id="613" w:name="_Toc296944536"/>
      <w:r/>
      <w:bookmarkStart w:id="614" w:name="_Toc296346698"/>
      <w:r/>
      <w:bookmarkStart w:id="615" w:name="_Toc296891025"/>
      <w:r/>
      <w:bookmarkStart w:id="616" w:name="_Toc297048383"/>
      <w:r/>
      <w:bookmarkStart w:id="617" w:name="_Toc297216203"/>
      <w:r/>
      <w:bookmarkStart w:id="618" w:name="_Toc297120497"/>
      <w:r/>
      <w:bookmarkStart w:id="619" w:name="_Toc312677503"/>
      <w:r/>
      <w:bookmarkStart w:id="620" w:name="_Toc312678029"/>
      <w:r/>
      <w:bookmarkStart w:id="621" w:name="_Toc304295570"/>
      <w:r>
        <w:rPr>
          <w:rFonts w:hint="eastAsia" w:ascii="宋体" w:hAnsi="宋体" w:cs="宋体"/>
          <w:b/>
          <w:bCs/>
          <w:color w:val="000000" w:themeColor="text1"/>
          <w:sz w:val="24"/>
          <w:highlight w:val="none"/>
          <w14:textFill>
            <w14:solidFill>
              <w14:schemeClr w14:val="tx1"/>
            </w14:solidFill>
          </w14:textFill>
        </w:rPr>
        <w:t xml:space="preserve">0.3承</w:t>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Start w:id="622" w:name="_Toc297120503"/>
      <w:r/>
      <w:bookmarkStart w:id="623" w:name="_Toc296944542"/>
      <w:r/>
      <w:bookmarkStart w:id="624" w:name="_Toc296346704"/>
      <w:r/>
      <w:bookmarkStart w:id="625" w:name="_Toc297123545"/>
      <w:r/>
      <w:bookmarkStart w:id="626" w:name="_Toc296347202"/>
      <w:r/>
      <w:bookmarkStart w:id="627" w:name="_Toc292559913"/>
      <w:r/>
      <w:bookmarkStart w:id="628" w:name="_Toc303539151"/>
      <w:r/>
      <w:bookmarkStart w:id="629" w:name="_Toc297048389"/>
      <w:r/>
      <w:bookmarkStart w:id="630" w:name="_Toc296891243"/>
      <w:r/>
      <w:bookmarkStart w:id="631" w:name="_Toc296503203"/>
      <w:r/>
      <w:bookmarkStart w:id="632" w:name="_Toc300934994"/>
      <w:r/>
      <w:bookmarkStart w:id="633" w:name="_Toc297216204"/>
      <w:r/>
      <w:bookmarkStart w:id="634" w:name="_Toc292559408"/>
      <w:r/>
      <w:bookmarkStart w:id="635" w:name="_Toc296891031"/>
      <w:r>
        <w:rPr>
          <w:rFonts w:hint="eastAsia" w:ascii="宋体" w:hAnsi="宋体" w:cs="宋体"/>
          <w:b/>
          <w:bCs/>
          <w:color w:val="000000" w:themeColor="text1"/>
          <w:sz w:val="24"/>
          <w:highlight w:val="none"/>
          <w14:textFill>
            <w14:solidFill>
              <w14:schemeClr w14:val="tx1"/>
            </w14:solidFill>
          </w14:textFill>
        </w:rPr>
        <w:t xml:space="preserve">包人的合理化建议</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监理人审查承包人合理化建议的期限：</w:t>
      </w:r>
      <w:r>
        <w:rPr>
          <w:rFonts w:hint="eastAsia" w:ascii="宋体" w:hAnsi="宋体" w:cs="宋体"/>
          <w:bCs/>
          <w:color w:val="000000" w:themeColor="text1"/>
          <w:sz w:val="24"/>
          <w:highlight w:val="none"/>
          <w:u w:val="single"/>
          <w14:textFill>
            <w14:solidFill>
              <w14:schemeClr w14:val="tx1"/>
            </w14:solidFill>
          </w14:textFill>
        </w:rPr>
        <w:t xml:space="preserve">按通用条款规定</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发包人审批承包人合理化建议的期限：</w:t>
      </w:r>
      <w:r>
        <w:rPr>
          <w:rFonts w:hint="eastAsia" w:ascii="宋体" w:hAnsi="宋体" w:cs="宋体"/>
          <w:bCs/>
          <w:color w:val="000000" w:themeColor="text1"/>
          <w:sz w:val="24"/>
          <w:highlight w:val="none"/>
          <w:u w:val="single"/>
          <w14:textFill>
            <w14:solidFill>
              <w14:schemeClr w14:val="tx1"/>
            </w14:solidFill>
          </w14:textFill>
        </w:rPr>
        <w:t xml:space="preserve">按通用条款规定</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w:t>
      </w:r>
      <w:bookmarkStart w:id="636" w:name="_Toc297048390"/>
      <w:r/>
      <w:bookmarkStart w:id="637" w:name="_Toc296944543"/>
      <w:r/>
      <w:bookmarkStart w:id="638" w:name="_Toc296503204"/>
      <w:r/>
      <w:bookmarkStart w:id="639" w:name="_Toc304295571"/>
      <w:r/>
      <w:bookmarkStart w:id="640" w:name="_Toc312678030"/>
      <w:r/>
      <w:bookmarkStart w:id="641" w:name="_Toc292559914"/>
      <w:r/>
      <w:bookmarkStart w:id="642" w:name="_Toc300934995"/>
      <w:r/>
      <w:bookmarkStart w:id="643" w:name="_Toc296891032"/>
      <w:r/>
      <w:bookmarkStart w:id="644" w:name="_Toc318581175"/>
      <w:r/>
      <w:bookmarkStart w:id="645" w:name="_Toc297216205"/>
      <w:r/>
      <w:bookmarkStart w:id="646" w:name="_Toc296347203"/>
      <w:r/>
      <w:bookmarkStart w:id="647" w:name="_Toc296891244"/>
      <w:r/>
      <w:bookmarkStart w:id="648" w:name="_Toc296346705"/>
      <w:r/>
      <w:bookmarkStart w:id="649" w:name="_Toc297120504"/>
      <w:r/>
      <w:bookmarkStart w:id="650" w:name="_Toc303539152"/>
      <w:r/>
      <w:bookmarkStart w:id="651" w:name="_Toc297123546"/>
      <w:r/>
      <w:bookmarkStart w:id="652" w:name="_Toc312677504"/>
      <w:r/>
      <w:bookmarkStart w:id="653" w:name="_Toc292559409"/>
      <w:r>
        <w:rPr>
          <w:rFonts w:hint="eastAsia" w:ascii="宋体" w:hAnsi="宋体" w:cs="宋体"/>
          <w:color w:val="000000" w:themeColor="text1"/>
          <w:sz w:val="24"/>
          <w:highlight w:val="none"/>
          <w14:textFill>
            <w14:solidFill>
              <w14:schemeClr w14:val="tx1"/>
            </w14:solidFill>
          </w14:textFill>
        </w:rPr>
        <w:t xml:space="preserve">包人提出的合理化建议降低了合同价格或者提高了工程经济效益的奖励的方法和金额为：</w:t>
      </w:r>
      <w:r>
        <w:rPr>
          <w:rFonts w:hint="eastAsia" w:ascii="宋体" w:hAnsi="宋体" w:cs="宋体"/>
          <w:bCs/>
          <w:color w:val="000000" w:themeColor="text1"/>
          <w:sz w:val="24"/>
          <w:highlight w:val="none"/>
          <w:u w:val="single"/>
          <w14:textFill>
            <w14:solidFill>
              <w14:schemeClr w14:val="tx1"/>
            </w14:solidFill>
          </w14:textFill>
        </w:rPr>
        <w:t xml:space="preserve">双方另行协商</w:t>
      </w:r>
      <w:r>
        <w:rPr>
          <w:rFonts w:hint="eastAsia" w:ascii="宋体" w:hAnsi="宋体" w:cs="宋体"/>
          <w:color w:val="000000" w:themeColor="text1"/>
          <w:sz w:val="24"/>
          <w:highlight w:val="none"/>
          <w14:textFill>
            <w14:solidFill>
              <w14:schemeClr w14:val="tx1"/>
            </w14:solidFill>
          </w14:textFill>
        </w:rPr>
        <w:t xml:space="preserve">。</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w:t>
      </w:r>
      <w:bookmarkStart w:id="654" w:name="_Toc297123548"/>
      <w:r/>
      <w:bookmarkStart w:id="655" w:name="_Toc300934997"/>
      <w:r/>
      <w:bookmarkStart w:id="656" w:name="_Toc296503199"/>
      <w:r/>
      <w:bookmarkStart w:id="657" w:name="_Toc303539154"/>
      <w:r/>
      <w:bookmarkStart w:id="658" w:name="_Toc292559404"/>
      <w:r/>
      <w:bookmarkStart w:id="659" w:name="_Toc296346700"/>
      <w:r/>
      <w:bookmarkStart w:id="660" w:name="_Toc296891027"/>
      <w:r/>
      <w:bookmarkStart w:id="661" w:name="_Toc312678033"/>
      <w:r/>
      <w:bookmarkStart w:id="662" w:name="_Toc297216207"/>
      <w:r/>
      <w:bookmarkStart w:id="663" w:name="_Toc296944538"/>
      <w:r/>
      <w:bookmarkStart w:id="664" w:name="_Toc297120499"/>
      <w:r/>
      <w:bookmarkStart w:id="665" w:name="_Toc296891239"/>
      <w:r/>
      <w:bookmarkStart w:id="666" w:name="_Toc296347198"/>
      <w:r/>
      <w:bookmarkStart w:id="667" w:name="_Toc312677507"/>
      <w:r/>
      <w:bookmarkStart w:id="668" w:name="_Toc304295574"/>
      <w:r/>
      <w:bookmarkStart w:id="669" w:name="_Toc292559909"/>
      <w:r/>
      <w:bookmarkStart w:id="670" w:name="_Toc297048385"/>
      <w:r>
        <w:rPr>
          <w:rFonts w:hint="eastAsia" w:ascii="宋体" w:hAnsi="宋体" w:cs="宋体"/>
          <w:b/>
          <w:bCs/>
          <w:color w:val="000000" w:themeColor="text1"/>
          <w:sz w:val="24"/>
          <w:highlight w:val="none"/>
          <w14:textFill>
            <w14:solidFill>
              <w14:schemeClr w14:val="tx1"/>
            </w14:solidFill>
          </w14:textFill>
        </w:rPr>
        <w:t xml:space="preserve">0.4 暂估价</w:t>
      </w:r>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暂</w:t>
      </w:r>
      <w:bookmarkStart w:id="671" w:name="_Toc312677508"/>
      <w:r/>
      <w:bookmarkStart w:id="672" w:name="_Toc312678034"/>
      <w:r/>
      <w:bookmarkStart w:id="673" w:name="_Toc318581176"/>
      <w:r>
        <w:rPr>
          <w:rFonts w:hint="eastAsia" w:ascii="宋体" w:hAnsi="宋体" w:cs="宋体"/>
          <w:color w:val="000000" w:themeColor="text1"/>
          <w:sz w:val="24"/>
          <w:highlight w:val="none"/>
          <w14:textFill>
            <w14:solidFill>
              <w14:schemeClr w14:val="tx1"/>
            </w14:solidFill>
          </w14:textFill>
        </w:rPr>
        <w:t xml:space="preserve">估价材料和工程设备的明细详见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bookmarkEnd w:id="671"/>
      <w:bookmarkEnd w:id="672"/>
      <w:bookmarkEnd w:id="673"/>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bookmarkStart w:id="674" w:name="_Toc312678035"/>
      <w:r/>
      <w:bookmarkStart w:id="675" w:name="_Toc318581177"/>
      <w:r/>
      <w:bookmarkStart w:id="676" w:name="_Toc312677509"/>
      <w:r>
        <w:rPr>
          <w:rFonts w:hint="eastAsia" w:ascii="宋体" w:hAnsi="宋体" w:cs="宋体"/>
          <w:color w:val="000000" w:themeColor="text1"/>
          <w:sz w:val="24"/>
          <w:highlight w:val="none"/>
          <w14:textFill>
            <w14:solidFill>
              <w14:schemeClr w14:val="tx1"/>
            </w14:solidFill>
          </w14:textFill>
        </w:rPr>
        <w:t xml:space="preserve">0.4.1 依法必须招标的暂估价项目</w:t>
      </w:r>
      <w:bookmarkEnd w:id="674"/>
      <w:bookmarkEnd w:id="675"/>
      <w:bookmarkEnd w:id="676"/>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对于依法必须招标的暂估价项目的确认和批准采取第</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种方式确定。</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10.4.2 不属于依法必须招标的暂估价项目</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对于不属于依法必须招标的暂估价项目的确认和批准采取第</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种方式确定。</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第3种方式：承包人直接实施的暂估价项目</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承包人直接实施的暂估价项目的约定：</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10.5暂列金额</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合同当事人关于暂列金额使用的约定：</w:t>
      </w:r>
      <w:r>
        <w:rPr>
          <w:rFonts w:hint="eastAsia" w:ascii="宋体" w:hAnsi="宋体" w:cs="宋体"/>
          <w:bCs/>
          <w:color w:val="000000" w:themeColor="text1"/>
          <w:sz w:val="24"/>
          <w:highlight w:val="none"/>
          <w:u w:val="single"/>
          <w14:textFill>
            <w14:solidFill>
              <w14:schemeClr w14:val="tx1"/>
            </w14:solidFill>
          </w14:textFill>
        </w:rPr>
        <w:t xml:space="preserve">暂列金使用权归发包人所有，若施工期间没有发生额外费用的支出，则从竣工结算款中扣除</w:t>
      </w:r>
      <w:r>
        <w:rPr>
          <w:rFonts w:hint="eastAsia" w:ascii="宋体" w:hAnsi="宋体" w:cs="宋体"/>
          <w:color w:val="000000" w:themeColor="text1"/>
          <w:sz w:val="24"/>
          <w:highlight w:val="none"/>
          <w14:textFill>
            <w14:solidFill>
              <w14:schemeClr w14:val="tx1"/>
            </w14:solidFill>
          </w14:textFill>
        </w:rPr>
        <w:t xml:space="preserve">。</w:t>
      </w:r>
      <w:r/>
    </w:p>
    <w:p>
      <w:pPr>
        <w:pStyle w:val="849"/>
        <w:ind w:firstLine="482"/>
        <w:spacing w:before="0" w:after="0" w:line="300" w:lineRule="auto"/>
        <w:rPr>
          <w:rFonts w:ascii="宋体" w:hAnsi="宋体" w:eastAsia="宋体" w:cs="宋体"/>
          <w:bCs w:val="0"/>
          <w:color w:val="000000" w:themeColor="text1"/>
          <w:sz w:val="24"/>
          <w:szCs w:val="24"/>
          <w:highlight w:val="none"/>
          <w:lang w:eastAsia="zh-CN"/>
          <w14:textFill>
            <w14:solidFill>
              <w14:schemeClr w14:val="tx1"/>
            </w14:solidFill>
          </w14:textFill>
        </w:rPr>
      </w:pPr>
      <w:r/>
      <w:bookmarkStart w:id="677" w:name="_Toc351203643"/>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11. 价格调整</w:t>
      </w:r>
      <w:bookmarkEnd w:id="677"/>
      <w:r/>
      <w:r/>
    </w:p>
    <w:p>
      <w:pPr>
        <w:ind w:firstLine="482"/>
        <w:spacing w:line="300" w:lineRule="auto"/>
        <w:rPr>
          <w:rFonts w:ascii="宋体" w:hAnsi="宋体" w:cs="宋体"/>
          <w:b/>
          <w:color w:val="000000" w:themeColor="text1"/>
          <w:sz w:val="24"/>
          <w:highlight w:val="none"/>
          <w14:textFill>
            <w14:solidFill>
              <w14:schemeClr w14:val="tx1"/>
            </w14:solidFill>
          </w14:textFill>
        </w:rPr>
      </w:pPr>
      <w:r/>
      <w:bookmarkStart w:id="678" w:name="_Toc297216209"/>
      <w:r/>
      <w:bookmarkStart w:id="679" w:name="_Toc304295577"/>
      <w:r/>
      <w:bookmarkStart w:id="680" w:name="_Toc312678039"/>
      <w:r/>
      <w:bookmarkStart w:id="681" w:name="_Toc292559406"/>
      <w:r/>
      <w:bookmarkStart w:id="682" w:name="_Toc296891029"/>
      <w:r/>
      <w:bookmarkStart w:id="683" w:name="_Toc300935000"/>
      <w:r/>
      <w:bookmarkStart w:id="684" w:name="_Toc296944540"/>
      <w:r/>
      <w:bookmarkStart w:id="685" w:name="_Toc296891241"/>
      <w:r/>
      <w:bookmarkStart w:id="686" w:name="_Toc296347200"/>
      <w:r/>
      <w:bookmarkStart w:id="687" w:name="_Toc296503201"/>
      <w:r/>
      <w:bookmarkStart w:id="688" w:name="_Toc297123550"/>
      <w:r/>
      <w:bookmarkStart w:id="689" w:name="_Toc292559911"/>
      <w:r/>
      <w:bookmarkStart w:id="690" w:name="_Toc297120501"/>
      <w:r/>
      <w:bookmarkStart w:id="691" w:name="_Toc297048387"/>
      <w:r/>
      <w:bookmarkStart w:id="692" w:name="_Toc303539157"/>
      <w:r/>
      <w:bookmarkStart w:id="693" w:name="_Toc296346702"/>
      <w:r>
        <w:rPr>
          <w:rFonts w:hint="eastAsia" w:ascii="宋体" w:hAnsi="宋体" w:cs="宋体"/>
          <w:b/>
          <w:color w:val="000000" w:themeColor="text1"/>
          <w:sz w:val="24"/>
          <w:highlight w:val="none"/>
          <w14:textFill>
            <w14:solidFill>
              <w14:schemeClr w14:val="tx1"/>
            </w14:solidFill>
          </w14:textFill>
        </w:rPr>
        <w:t xml:space="preserve">11.1 市场价格波动引起的调整</w:t>
      </w:r>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市场价格波动是否调整合同价格的约定：</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因市场价格波动调整合同价格，采用以下第</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种方式对合同价格进行调整：</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第1种方式：采用价格指数进行价格调整。</w:t>
      </w:r>
      <w:r/>
    </w:p>
    <w:p>
      <w:pPr>
        <w:ind w:firstLine="480"/>
        <w:jc w:val="left"/>
        <w:spacing w:line="30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关于各可调因子、定值和变值权重，以及基本价格指数及其来源的约定：</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  </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第2种方式：采用造价信息进行价格调整。</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（1）关于基准价格的约定：</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%时，或材料单价跌幅以已标价工程量清单或预算书中载明材料单价为基础超过</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%时，其超过部分据实调整。</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②承包人在已标价工程量清单或预算书中载明的材料单价高于基准价格的：专用合同条款合同履行期间材料单价跌幅以基准价格为基础超过</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%时，材料单价涨幅以已标价工程量清单或预算书中载明材料单价为基础超过</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%时，其超过部分据实调整。</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%时，其超过部分据实调整。</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bookmarkStart w:id="694" w:name="_Hlk68781323"/>
      <w:r>
        <w:rPr>
          <w:rFonts w:hint="eastAsia" w:ascii="宋体" w:hAnsi="宋体" w:cs="宋体"/>
          <w:color w:val="000000" w:themeColor="text1"/>
          <w:sz w:val="24"/>
          <w:highlight w:val="none"/>
          <w14:textFill>
            <w14:solidFill>
              <w14:schemeClr w14:val="tx1"/>
            </w14:solidFill>
          </w14:textFill>
        </w:rPr>
        <w:t xml:space="preserve">第3种方式：其他价格调整方式：</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bookmarkEnd w:id="581"/>
      <w:bookmarkEnd w:id="582"/>
      <w:bookmarkEnd w:id="583"/>
      <w:bookmarkEnd w:id="584"/>
      <w:bookmarkEnd w:id="585"/>
      <w:bookmarkEnd w:id="586"/>
      <w:bookmarkEnd w:id="694"/>
      <w:r/>
    </w:p>
    <w:p>
      <w:pPr>
        <w:pStyle w:val="849"/>
        <w:ind w:firstLine="482"/>
        <w:spacing w:before="0" w:after="0" w:line="300" w:lineRule="auto"/>
        <w:rPr>
          <w:rFonts w:ascii="宋体" w:hAnsi="宋体" w:eastAsia="宋体" w:cs="宋体"/>
          <w:bCs w:val="0"/>
          <w:color w:val="000000" w:themeColor="text1"/>
          <w:sz w:val="24"/>
          <w:szCs w:val="24"/>
          <w:highlight w:val="none"/>
          <w:lang w:eastAsia="zh-CN"/>
          <w14:textFill>
            <w14:solidFill>
              <w14:schemeClr w14:val="tx1"/>
            </w14:solidFill>
          </w14:textFill>
        </w:rPr>
      </w:pPr>
      <w:r/>
      <w:bookmarkStart w:id="695" w:name="_Toc297048391"/>
      <w:r/>
      <w:bookmarkStart w:id="696" w:name="_Toc292559915"/>
      <w:r/>
      <w:bookmarkStart w:id="697" w:name="_Toc296891245"/>
      <w:r/>
      <w:bookmarkStart w:id="698" w:name="_Toc296346706"/>
      <w:r/>
      <w:bookmarkStart w:id="699" w:name="_Toc297120505"/>
      <w:r/>
      <w:bookmarkStart w:id="700" w:name="_Toc296891033"/>
      <w:r/>
      <w:bookmarkStart w:id="701" w:name="_Toc296503205"/>
      <w:r/>
      <w:bookmarkStart w:id="702" w:name="_Toc296944544"/>
      <w:r/>
      <w:bookmarkStart w:id="703" w:name="_Toc296347204"/>
      <w:r/>
      <w:bookmarkStart w:id="704" w:name="_Toc292559410"/>
      <w:r/>
      <w:bookmarkStart w:id="705" w:name="_Toc351203644"/>
      <w:r/>
      <w:bookmarkStart w:id="706" w:name="_Toc300935002"/>
      <w:r/>
      <w:bookmarkStart w:id="707" w:name="_Toc297123552"/>
      <w:r/>
      <w:bookmarkStart w:id="708" w:name="_Toc303539159"/>
      <w:r/>
      <w:bookmarkStart w:id="709" w:name="_Toc312678040"/>
      <w:r/>
      <w:bookmarkStart w:id="710" w:name="_Toc297216211"/>
      <w:r/>
      <w:bookmarkStart w:id="711" w:name="_Toc304295579"/>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12. </w:t>
      </w:r>
      <w:bookmarkEnd w:id="695"/>
      <w:r/>
      <w:bookmarkEnd w:id="696"/>
      <w:r/>
      <w:bookmarkEnd w:id="697"/>
      <w:r/>
      <w:bookmarkEnd w:id="698"/>
      <w:r/>
      <w:bookmarkEnd w:id="699"/>
      <w:r/>
      <w:bookmarkEnd w:id="700"/>
      <w:r/>
      <w:bookmarkEnd w:id="701"/>
      <w:r/>
      <w:bookmarkEnd w:id="702"/>
      <w:r/>
      <w:bookmarkEnd w:id="703"/>
      <w:r/>
      <w:bookmarkEnd w:id="704"/>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合同价格、计量与支付</w:t>
      </w:r>
      <w:bookmarkEnd w:id="705"/>
      <w:r/>
      <w:bookmarkEnd w:id="706"/>
      <w:bookmarkEnd w:id="707"/>
      <w:bookmarkEnd w:id="708"/>
      <w:bookmarkEnd w:id="709"/>
      <w:bookmarkEnd w:id="710"/>
      <w:bookmarkEnd w:id="711"/>
      <w:r/>
    </w:p>
    <w:p>
      <w:pPr>
        <w:ind w:firstLine="482"/>
        <w:spacing w:line="300" w:lineRule="auto"/>
        <w:rPr>
          <w:rFonts w:ascii="宋体" w:hAnsi="宋体" w:cs="宋体"/>
          <w:b/>
          <w:color w:val="000000" w:themeColor="text1"/>
          <w:sz w:val="24"/>
          <w:highlight w:val="none"/>
          <w14:textFill>
            <w14:solidFill>
              <w14:schemeClr w14:val="tx1"/>
            </w14:solidFill>
          </w14:textFill>
        </w:rPr>
      </w:pPr>
      <w:r/>
      <w:bookmarkStart w:id="712" w:name="_Toc267251461"/>
      <w:r/>
      <w:bookmarkStart w:id="713" w:name="_Toc292559411"/>
      <w:r/>
      <w:bookmarkStart w:id="714" w:name="_Toc292559916"/>
      <w:r/>
      <w:bookmarkStart w:id="715" w:name="_Toc296503206"/>
      <w:r/>
      <w:bookmarkStart w:id="716" w:name="_Toc297120506"/>
      <w:r/>
      <w:bookmarkStart w:id="717" w:name="_Toc296944545"/>
      <w:r/>
      <w:bookmarkStart w:id="718" w:name="_Toc296347205"/>
      <w:r/>
      <w:bookmarkStart w:id="719" w:name="_Toc297048392"/>
      <w:r/>
      <w:bookmarkStart w:id="720" w:name="_Toc296346707"/>
      <w:r/>
      <w:bookmarkStart w:id="721" w:name="_Toc296891034"/>
      <w:r/>
      <w:bookmarkStart w:id="722" w:name="_Toc296891246"/>
      <w:r/>
      <w:bookmarkStart w:id="723" w:name="_Toc297216212"/>
      <w:r/>
      <w:bookmarkStart w:id="724" w:name="_Toc300935003"/>
      <w:r/>
      <w:bookmarkStart w:id="725" w:name="_Toc297123553"/>
      <w:r/>
      <w:bookmarkStart w:id="726" w:name="_Toc312678041"/>
      <w:r/>
      <w:bookmarkStart w:id="727" w:name="_Toc303539160"/>
      <w:r/>
      <w:bookmarkStart w:id="728" w:name="_Toc304295580"/>
      <w:r>
        <w:rPr>
          <w:rFonts w:hint="eastAsia" w:ascii="宋体" w:hAnsi="宋体" w:cs="宋体"/>
          <w:b/>
          <w:color w:val="000000" w:themeColor="text1"/>
          <w:sz w:val="24"/>
          <w:highlight w:val="none"/>
          <w14:textFill>
            <w14:solidFill>
              <w14:schemeClr w14:val="tx1"/>
            </w14:solidFill>
          </w14:textFill>
        </w:rPr>
        <w:t xml:space="preserve">12.1 合</w:t>
      </w:r>
      <w:bookmarkEnd w:id="712"/>
      <w:r/>
      <w:bookmarkEnd w:id="713"/>
      <w:r/>
      <w:bookmarkEnd w:id="714"/>
      <w:r>
        <w:rPr>
          <w:rFonts w:hint="eastAsia" w:ascii="宋体" w:hAnsi="宋体" w:cs="宋体"/>
          <w:b/>
          <w:color w:val="000000" w:themeColor="text1"/>
          <w:sz w:val="24"/>
          <w:highlight w:val="none"/>
          <w14:textFill>
            <w14:solidFill>
              <w14:schemeClr w14:val="tx1"/>
            </w14:solidFill>
          </w14:textFill>
        </w:rPr>
        <w:t xml:space="preserve">同价</w:t>
      </w:r>
      <w:bookmarkEnd w:id="715"/>
      <w:r/>
      <w:bookmarkEnd w:id="716"/>
      <w:r/>
      <w:bookmarkEnd w:id="717"/>
      <w:r/>
      <w:bookmarkEnd w:id="718"/>
      <w:r/>
      <w:bookmarkEnd w:id="719"/>
      <w:r/>
      <w:bookmarkEnd w:id="720"/>
      <w:r/>
      <w:bookmarkEnd w:id="721"/>
      <w:r/>
      <w:bookmarkEnd w:id="722"/>
      <w:r>
        <w:rPr>
          <w:rFonts w:hint="eastAsia" w:ascii="宋体" w:hAnsi="宋体" w:cs="宋体"/>
          <w:b/>
          <w:color w:val="000000" w:themeColor="text1"/>
          <w:sz w:val="24"/>
          <w:highlight w:val="none"/>
          <w14:textFill>
            <w14:solidFill>
              <w14:schemeClr w14:val="tx1"/>
            </w14:solidFill>
          </w14:textFill>
        </w:rPr>
        <w:t xml:space="preserve">格形式</w:t>
      </w:r>
      <w:bookmarkEnd w:id="723"/>
      <w:bookmarkEnd w:id="724"/>
      <w:bookmarkEnd w:id="725"/>
      <w:bookmarkEnd w:id="726"/>
      <w:bookmarkEnd w:id="727"/>
      <w:bookmarkEnd w:id="728"/>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12.1.1单价合同。</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综合单价包含的风险范围：</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(1)各类人工费、机械台班、建材的市场价格波动风险；</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(2)工程量发生变更时，相同子目综合单价不予调整的风险；</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(3)因承包人自身施工管理等原因造成工期、误工费用增加的风险；</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(4)作为有丰富经验的承包商应该可以预见到的风险；</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(5)招标文件中明示和暗示的风险费用；</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(6)施工组织设计的各项技术、安全措施；</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(7)施工期间的各类政策性调整；</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风险费用的计算方法：</w:t>
      </w:r>
      <w:r>
        <w:rPr>
          <w:rFonts w:hint="eastAsia" w:ascii="宋体" w:hAnsi="宋体" w:cs="宋体"/>
          <w:bCs/>
          <w:color w:val="000000" w:themeColor="text1"/>
          <w:sz w:val="24"/>
          <w:highlight w:val="none"/>
          <w:u w:val="single"/>
          <w14:textFill>
            <w14:solidFill>
              <w14:schemeClr w14:val="tx1"/>
            </w14:solidFill>
          </w14:textFill>
        </w:rPr>
        <w:t xml:space="preserve">承包人在响应报价时已经知晓上述风险范围，已经考虑相应的风险费用计入报价</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风险范围以外合同价格的调整方法：</w:t>
      </w:r>
      <w:r>
        <w:rPr>
          <w:rFonts w:hint="eastAsia" w:ascii="宋体" w:hAnsi="宋体" w:cs="宋体"/>
          <w:color w:val="000000" w:themeColor="text1"/>
          <w:sz w:val="24"/>
          <w:highlight w:val="none"/>
          <w:u w:val="single"/>
          <w14:textFill>
            <w14:solidFill>
              <w14:schemeClr w14:val="tx1"/>
            </w14:solidFill>
          </w14:textFill>
        </w:rPr>
        <w:t xml:space="preserve">由发包人和承包人另行协商。</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12.1.2总价合同。</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总价包含的风险范围：</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风险费用的计算方法：</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风险范围以外合同价格的调整方法：</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12.1.3其他价格方式：</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00" w:lineRule="auto"/>
        <w:rPr>
          <w:rFonts w:ascii="宋体" w:hAnsi="宋体" w:cs="宋体"/>
          <w:b/>
          <w:bCs/>
          <w:color w:val="000000" w:themeColor="text1"/>
          <w:sz w:val="24"/>
          <w:highlight w:val="none"/>
          <w14:textFill>
            <w14:solidFill>
              <w14:schemeClr w14:val="tx1"/>
            </w14:solidFill>
          </w14:textFill>
        </w:rPr>
      </w:pPr>
      <w:r/>
      <w:bookmarkStart w:id="729" w:name="_Toc303539161"/>
      <w:r/>
      <w:bookmarkStart w:id="730" w:name="_Toc300935004"/>
      <w:r/>
      <w:bookmarkStart w:id="731" w:name="_Toc312678042"/>
      <w:r/>
      <w:bookmarkStart w:id="732" w:name="_Toc297123554"/>
      <w:r/>
      <w:bookmarkStart w:id="733" w:name="_Toc304295581"/>
      <w:r/>
      <w:bookmarkStart w:id="734" w:name="_Toc297216213"/>
      <w:r/>
      <w:bookmarkStart w:id="735" w:name="_Toc296891035"/>
      <w:r/>
      <w:bookmarkStart w:id="736" w:name="_Toc292559917"/>
      <w:r/>
      <w:bookmarkStart w:id="737" w:name="_Toc292559412"/>
      <w:r/>
      <w:bookmarkStart w:id="738" w:name="_Toc296944546"/>
      <w:r/>
      <w:bookmarkStart w:id="739" w:name="_Toc296503207"/>
      <w:r/>
      <w:bookmarkStart w:id="740" w:name="_Toc296891247"/>
      <w:r/>
      <w:bookmarkStart w:id="741" w:name="_Toc297120507"/>
      <w:r/>
      <w:bookmarkStart w:id="742" w:name="_Toc296347206"/>
      <w:r/>
      <w:bookmarkStart w:id="743" w:name="_Toc296346708"/>
      <w:r/>
      <w:bookmarkStart w:id="744" w:name="_Toc297048393"/>
      <w:r>
        <w:rPr>
          <w:rFonts w:hint="eastAsia" w:ascii="宋体" w:hAnsi="宋体" w:cs="宋体"/>
          <w:b/>
          <w:bCs/>
          <w:color w:val="000000" w:themeColor="text1"/>
          <w:sz w:val="24"/>
          <w:highlight w:val="none"/>
          <w14:textFill>
            <w14:solidFill>
              <w14:schemeClr w14:val="tx1"/>
            </w14:solidFill>
          </w14:textFill>
        </w:rPr>
        <w:t xml:space="preserve">12.2 预付款</w:t>
      </w:r>
      <w:bookmarkEnd w:id="729"/>
      <w:bookmarkEnd w:id="730"/>
      <w:bookmarkEnd w:id="731"/>
      <w:bookmarkEnd w:id="732"/>
      <w:bookmarkEnd w:id="733"/>
      <w:bookmarkEnd w:id="734"/>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12.2.1 预付款的支付</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预付款支付比例或金额：</w:t>
      </w:r>
      <w:r>
        <w:rPr>
          <w:rFonts w:hint="eastAsia" w:ascii="宋体" w:hAnsi="宋体" w:cs="宋体"/>
          <w:bCs/>
          <w:color w:val="000000" w:themeColor="text1"/>
          <w:sz w:val="24"/>
          <w:highlight w:val="none"/>
          <w:u w:val="single"/>
          <w14:textFill>
            <w14:solidFill>
              <w14:schemeClr w14:val="tx1"/>
            </w14:solidFill>
          </w14:textFill>
        </w:rPr>
        <w:t xml:space="preserve"> 按照本项目专用合同条款12.4.1执行</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预付款支付期限：</w:t>
      </w:r>
      <w:r>
        <w:rPr>
          <w:rFonts w:hint="eastAsia" w:ascii="宋体" w:hAnsi="宋体" w:cs="宋体"/>
          <w:bCs/>
          <w:color w:val="000000" w:themeColor="text1"/>
          <w:sz w:val="24"/>
          <w:highlight w:val="none"/>
          <w:u w:val="single"/>
          <w14:textFill>
            <w14:solidFill>
              <w14:schemeClr w14:val="tx1"/>
            </w14:solidFill>
          </w14:textFill>
        </w:rPr>
        <w:t xml:space="preserve">按照本项目专用合同条款12.4.1执行</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预付款扣回的方式：</w:t>
      </w:r>
      <w:r>
        <w:rPr>
          <w:rFonts w:hint="eastAsia" w:ascii="宋体" w:hAnsi="宋体" w:cs="宋体"/>
          <w:bCs/>
          <w:color w:val="000000" w:themeColor="text1"/>
          <w:sz w:val="24"/>
          <w:highlight w:val="none"/>
          <w:u w:val="single"/>
          <w14:textFill>
            <w14:solidFill>
              <w14:schemeClr w14:val="tx1"/>
            </w14:solidFill>
          </w14:textFill>
        </w:rPr>
        <w:t xml:space="preserve"> 抵充工程款，不扣回 </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12.2.2 预付款担保</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承包人提交预付款担保的期限：</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预付款担保的形式为：</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bookmarkEnd w:id="735"/>
      <w:bookmarkEnd w:id="736"/>
      <w:bookmarkEnd w:id="737"/>
      <w:bookmarkEnd w:id="738"/>
      <w:bookmarkEnd w:id="739"/>
      <w:bookmarkEnd w:id="740"/>
      <w:bookmarkEnd w:id="741"/>
      <w:bookmarkEnd w:id="742"/>
      <w:bookmarkEnd w:id="743"/>
      <w:bookmarkEnd w:id="744"/>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12.3 计量</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12.3.1 计量原则</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工程量计算规则：</w:t>
      </w:r>
      <w:r>
        <w:rPr>
          <w:rFonts w:hint="eastAsia" w:ascii="宋体" w:hAnsi="宋体" w:cs="宋体"/>
          <w:bCs/>
          <w:color w:val="000000" w:themeColor="text1"/>
          <w:sz w:val="24"/>
          <w:highlight w:val="none"/>
          <w:u w:val="single"/>
          <w14:textFill>
            <w14:solidFill>
              <w14:schemeClr w14:val="tx1"/>
            </w14:solidFill>
          </w14:textFill>
        </w:rPr>
        <w:t xml:space="preserve">除合同、招标文件、工程量清单有特殊约定外，按照《建设工程工程量清单计价规范》（2013）、2014年《江苏省建筑装饰工程计价表》、2014年《江苏省安装工程计价表》计量</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12.3.2 计量周期</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关于计量周期的约定：</w:t>
      </w:r>
      <w:r>
        <w:rPr>
          <w:rFonts w:hint="eastAsia" w:ascii="宋体" w:hAnsi="宋体" w:cs="宋体"/>
          <w:bCs/>
          <w:color w:val="000000" w:themeColor="text1"/>
          <w:sz w:val="24"/>
          <w:highlight w:val="none"/>
          <w:u w:val="single"/>
          <w14:textFill>
            <w14:solidFill>
              <w14:schemeClr w14:val="tx1"/>
            </w14:solidFill>
          </w14:textFill>
        </w:rPr>
        <w:t xml:space="preserve">每月5日前承包人向发包人、监理提交上月已完工程量报告，其他按通用条款执行</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12.3.3 单价合同的计量</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关于单价合同计量的约定：</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（1）计量的范围与要求</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①只能对工程量清单、变更工程、计日工等合同规定支付的项目计量，此范围以外的不得进行计量；</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②计量必须严格按合同规定的方法、范围、内容、单位进行；</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③工程质量未经检验或检验不合格的，不得计量；因承包人原因造成返工的工程量不予计量；</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④无论一般的和当地的习惯如何，除合同中另有规定，工程的计量应以净值为准。因此，属于承包人超出设计图纸范围的工程量不予计量；</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⑤按合同5.2[ 隐蔽工程检查]、13.1[分部分项工程验收]条款的约定需计量的中间部位、隐蔽工程、拆除工程。</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（2）单价合同的计量方法</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①已标价工程量清单中的单价子目工程量为估算工程量。结算工程量是以竣工结算审计结论为准的承包人实际完成的，并按合同约定的计量方法进行计量的工程量 。</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②承包人对已完成的工程进行计量，向监理人提交进度付款申请单、已完成工程量报表和有关计量资料。</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③监理人对承包人提交的工程量报表进行复核，以确定实际完成的估算工程量。对数量有异议的，可要求承包人按合同条款约定进行共同复核和抽样复测。承包人应协助监理人进行复核并按监理人要求提供补充计量资料。承包人未按监理人要求参加复核，监理人复核或修正的工程量视为承包人实际完成的估算工程量。</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④监理人认为有必要时，可通知承包人共同进行联合测量、计量，承包人应遵照执行。</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⑤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估算工程量。</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⑥承包人未在已标价工程量清单中填入单价或总额价的工程子目，将被认为其已包含在本合同的其他子目的单价和总额价中，发包人将不另行支付。</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⑧监理人、发包人所确认的工程量只是支付进度款的依据，不能作为竣工结算时承包人实际完成的工程量的依据，结算工程量以竣工结算的审计结论为准</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12.3.4 总价合同的计量</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关于总价合同计量的约定：</w:t>
      </w:r>
      <w:r>
        <w:rPr>
          <w:rFonts w:hint="eastAsia" w:ascii="宋体" w:hAnsi="宋体" w:cs="宋体"/>
          <w:bCs/>
          <w:color w:val="000000" w:themeColor="text1"/>
          <w:sz w:val="24"/>
          <w:highlight w:val="none"/>
          <w:u w:val="single"/>
          <w14:textFill>
            <w14:solidFill>
              <w14:schemeClr w14:val="tx1"/>
            </w14:solidFill>
          </w14:textFill>
        </w:rPr>
        <w:t xml:space="preserve">不采用</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12.3.5总价合同采用支付分解表计量支付的，是否适用第12.3.4 项〔总价合同的计量〕约定进行计量：</w:t>
      </w:r>
      <w:r>
        <w:rPr>
          <w:rFonts w:hint="eastAsia" w:ascii="宋体" w:hAnsi="宋体" w:cs="宋体"/>
          <w:bCs/>
          <w:color w:val="000000" w:themeColor="text1"/>
          <w:sz w:val="24"/>
          <w:highlight w:val="none"/>
          <w:u w:val="single"/>
          <w14:textFill>
            <w14:solidFill>
              <w14:schemeClr w14:val="tx1"/>
            </w14:solidFill>
          </w14:textFill>
        </w:rPr>
        <w:t xml:space="preserve">不采用</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12.3.6 其他价格形式合同的计量</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其他价格形式的计量方式和程序：</w:t>
      </w:r>
      <w:r>
        <w:rPr>
          <w:rFonts w:hint="eastAsia" w:ascii="宋体" w:hAnsi="宋体" w:cs="宋体"/>
          <w:bCs/>
          <w:color w:val="000000" w:themeColor="text1"/>
          <w:sz w:val="24"/>
          <w:highlight w:val="none"/>
          <w:u w:val="single"/>
          <w14:textFill>
            <w14:solidFill>
              <w14:schemeClr w14:val="tx1"/>
            </w14:solidFill>
          </w14:textFill>
        </w:rPr>
        <w:t xml:space="preserve">不采用</w:t>
      </w: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12.4 工程进度款支付</w:t>
      </w:r>
      <w:r/>
    </w:p>
    <w:p>
      <w:pPr>
        <w:ind w:firstLine="482"/>
        <w:jc w:val="left"/>
        <w:spacing w:line="300" w:lineRule="auto"/>
        <w:rPr>
          <w:rFonts w:ascii="宋体" w:hAnsi="宋体" w:cs="宋体"/>
          <w:b/>
          <w:bCs/>
          <w:color w:val="000000" w:themeColor="text1"/>
          <w:sz w:val="24"/>
          <w:highlight w:val="none"/>
          <w14:textFill>
            <w14:solidFill>
              <w14:schemeClr w14:val="tx1"/>
            </w14:solidFill>
          </w14:textFill>
        </w:rPr>
      </w:pPr>
      <w:r/>
      <w:bookmarkStart w:id="745" w:name="_Toc303539163"/>
      <w:r/>
      <w:bookmarkStart w:id="746" w:name="_Toc296891251"/>
      <w:r/>
      <w:bookmarkStart w:id="747" w:name="_Toc300935006"/>
      <w:r/>
      <w:bookmarkStart w:id="748" w:name="_Toc297120511"/>
      <w:r/>
      <w:bookmarkStart w:id="749" w:name="_Toc296944550"/>
      <w:r/>
      <w:bookmarkStart w:id="750" w:name="_Toc292559416"/>
      <w:r/>
      <w:bookmarkStart w:id="751" w:name="_Toc297048397"/>
      <w:r/>
      <w:bookmarkStart w:id="752" w:name="_Toc297216215"/>
      <w:r/>
      <w:bookmarkStart w:id="753" w:name="_Toc296346712"/>
      <w:r/>
      <w:bookmarkStart w:id="754" w:name="_Toc292559921"/>
      <w:r/>
      <w:bookmarkStart w:id="755" w:name="_Toc296891039"/>
      <w:r/>
      <w:bookmarkStart w:id="756" w:name="_Toc296347210"/>
      <w:r/>
      <w:bookmarkStart w:id="757" w:name="_Toc296503211"/>
      <w:r/>
      <w:bookmarkStart w:id="758" w:name="_Toc297123556"/>
      <w:r>
        <w:rPr>
          <w:rFonts w:hint="eastAsia" w:ascii="宋体" w:hAnsi="宋体" w:cs="宋体"/>
          <w:b/>
          <w:bCs/>
          <w:color w:val="000000" w:themeColor="text1"/>
          <w:sz w:val="24"/>
          <w:highlight w:val="none"/>
          <w14:textFill>
            <w14:solidFill>
              <w14:schemeClr w14:val="tx1"/>
            </w14:solidFill>
          </w14:textFill>
        </w:rPr>
        <w:t xml:space="preserve">12.4.1 付款周期</w:t>
      </w:r>
      <w:r/>
    </w:p>
    <w:p>
      <w:pPr>
        <w:ind w:firstLine="482"/>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关于付款周期的约定：</w:t>
      </w:r>
      <w:r/>
    </w:p>
    <w:p>
      <w:pPr>
        <w:pStyle w:val="927"/>
        <w:ind w:firstLine="482"/>
        <w:spacing w:line="360" w:lineRule="auto"/>
        <w:rPr>
          <w:rFonts w:cs="宋体"/>
          <w:b/>
          <w:bCs/>
          <w:color w:val="000000" w:themeColor="text1"/>
          <w:sz w:val="24"/>
          <w:highlight w:val="none"/>
          <w14:textFill>
            <w14:solidFill>
              <w14:schemeClr w14:val="tx1"/>
            </w14:solidFill>
          </w14:textFill>
        </w:rPr>
      </w:pPr>
      <w:r>
        <w:rPr>
          <w:rFonts w:hint="eastAsia" w:cs="宋体"/>
          <w:b/>
          <w:bCs/>
          <w:color w:val="000000" w:themeColor="text1"/>
          <w:sz w:val="24"/>
          <w:highlight w:val="none"/>
          <w14:textFill>
            <w14:solidFill>
              <w14:schemeClr w14:val="tx1"/>
            </w14:solidFill>
          </w14:textFill>
        </w:rPr>
        <w:t xml:space="preserve">（1）项目实施期间，设备到齐并经采购人验收合格后，采购人在收到增值税发票10个工作日内向中标人支付合同签约价的60%。</w:t>
      </w:r>
      <w:r/>
    </w:p>
    <w:p>
      <w:pPr>
        <w:pStyle w:val="927"/>
        <w:ind w:firstLine="482"/>
        <w:spacing w:line="360" w:lineRule="auto"/>
        <w:rPr>
          <w:rFonts w:cs="宋体"/>
          <w:b/>
          <w:bCs/>
          <w:color w:val="000000" w:themeColor="text1"/>
          <w:sz w:val="24"/>
          <w:highlight w:val="none"/>
          <w14:textFill>
            <w14:solidFill>
              <w14:schemeClr w14:val="tx1"/>
            </w14:solidFill>
          </w14:textFill>
        </w:rPr>
      </w:pPr>
      <w:r>
        <w:rPr>
          <w:rFonts w:hint="eastAsia" w:cs="宋体"/>
          <w:b/>
          <w:bCs/>
          <w:color w:val="000000" w:themeColor="text1"/>
          <w:sz w:val="24"/>
          <w:highlight w:val="none"/>
          <w14:textFill>
            <w14:solidFill>
              <w14:schemeClr w14:val="tx1"/>
            </w14:solidFill>
          </w14:textFill>
        </w:rPr>
        <w:t xml:space="preserve">（2）本项目工程竣工验收合格，发包人支付至合同价扣除暂列金的80%。</w:t>
      </w:r>
      <w:r/>
    </w:p>
    <w:p>
      <w:pPr>
        <w:pStyle w:val="927"/>
        <w:ind w:firstLine="482"/>
        <w:spacing w:line="360" w:lineRule="auto"/>
        <w:rPr>
          <w:rFonts w:cs="宋体"/>
          <w:b/>
          <w:bCs/>
          <w:color w:val="000000" w:themeColor="text1"/>
          <w:sz w:val="24"/>
          <w:highlight w:val="none"/>
          <w14:textFill>
            <w14:solidFill>
              <w14:schemeClr w14:val="tx1"/>
            </w14:solidFill>
          </w14:textFill>
        </w:rPr>
      </w:pPr>
      <w:r>
        <w:rPr>
          <w:rFonts w:hint="eastAsia" w:cs="宋体"/>
          <w:b/>
          <w:bCs/>
          <w:color w:val="000000" w:themeColor="text1"/>
          <w:sz w:val="24"/>
          <w:highlight w:val="none"/>
          <w14:textFill>
            <w14:solidFill>
              <w14:schemeClr w14:val="tx1"/>
            </w14:solidFill>
          </w14:textFill>
        </w:rPr>
        <w:t xml:space="preserve">（3）审计结束，承包人先向学院支付审定金额的3%工程质保金（以转账形式支付至学院指定账户），发包人在10个工作日内付清工程尾款。</w:t>
      </w:r>
      <w:r/>
    </w:p>
    <w:p>
      <w:pPr>
        <w:pStyle w:val="927"/>
        <w:ind w:firstLine="482"/>
        <w:spacing w:line="360" w:lineRule="auto"/>
        <w:rPr>
          <w:rFonts w:cs="宋体"/>
          <w:b/>
          <w:bCs/>
          <w:color w:val="000000" w:themeColor="text1"/>
          <w:sz w:val="24"/>
          <w:highlight w:val="none"/>
          <w14:textFill>
            <w14:solidFill>
              <w14:schemeClr w14:val="tx1"/>
            </w14:solidFill>
          </w14:textFill>
        </w:rPr>
      </w:pPr>
      <w:r>
        <w:rPr>
          <w:rFonts w:hint="eastAsia" w:cs="宋体"/>
          <w:b/>
          <w:bCs/>
          <w:color w:val="000000" w:themeColor="text1"/>
          <w:sz w:val="24"/>
          <w:highlight w:val="none"/>
          <w14:textFill>
            <w14:solidFill>
              <w14:schemeClr w14:val="tx1"/>
            </w14:solidFill>
          </w14:textFill>
        </w:rPr>
        <w:t xml:space="preserve">（4）工程质保金的退还按《工程质量保修书》约定的条款执行。</w:t>
      </w:r>
      <w:r/>
    </w:p>
    <w:p>
      <w:pPr>
        <w:pStyle w:val="927"/>
        <w:ind w:firstLine="482"/>
        <w:spacing w:line="360" w:lineRule="auto"/>
        <w:rPr>
          <w:rFonts w:cs="宋体"/>
          <w:b/>
          <w:bCs/>
          <w:color w:val="000000" w:themeColor="text1"/>
          <w:sz w:val="24"/>
          <w:highlight w:val="none"/>
          <w14:textFill>
            <w14:solidFill>
              <w14:schemeClr w14:val="tx1"/>
            </w14:solidFill>
          </w14:textFill>
        </w:rPr>
      </w:pPr>
      <w:r>
        <w:rPr>
          <w:rFonts w:hint="eastAsia" w:cs="宋体"/>
          <w:b/>
          <w:bCs/>
          <w:color w:val="000000" w:themeColor="text1"/>
          <w:sz w:val="24"/>
          <w:highlight w:val="none"/>
          <w14:textFill>
            <w14:solidFill>
              <w14:schemeClr w14:val="tx1"/>
            </w14:solidFill>
          </w14:textFill>
        </w:rPr>
        <w:t xml:space="preserve">（5）每次付款前，承包人必须开具正规足额税务发票。</w:t>
      </w:r>
      <w:r/>
    </w:p>
    <w:p>
      <w:pPr>
        <w:pStyle w:val="927"/>
        <w:ind w:firstLine="482"/>
        <w:spacing w:line="360" w:lineRule="auto"/>
        <w:rPr>
          <w:rFonts w:cs="宋体"/>
          <w:b/>
          <w:bCs/>
          <w:color w:val="000000" w:themeColor="text1"/>
          <w:sz w:val="24"/>
          <w:highlight w:val="none"/>
          <w14:textFill>
            <w14:solidFill>
              <w14:schemeClr w14:val="tx1"/>
            </w14:solidFill>
          </w14:textFill>
        </w:rPr>
      </w:pPr>
      <w:r>
        <w:rPr>
          <w:rFonts w:hint="eastAsia" w:cs="宋体"/>
          <w:b/>
          <w:bCs/>
          <w:color w:val="000000" w:themeColor="text1"/>
          <w:sz w:val="24"/>
          <w:highlight w:val="none"/>
          <w14:textFill>
            <w14:solidFill>
              <w14:schemeClr w14:val="tx1"/>
            </w14:solidFill>
          </w14:textFill>
        </w:rPr>
        <w:t xml:space="preserve">（6）经确认的变更工程价款由审计部门审计后，在工程竣工结算时一并支付。</w:t>
      </w:r>
      <w:r/>
    </w:p>
    <w:tbl>
      <w:tblPr>
        <w:tblStyle w:val="6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1"/>
        <w:gridCol w:w="2719"/>
        <w:gridCol w:w="1880"/>
        <w:gridCol w:w="1881"/>
        <w:gridCol w:w="1881"/>
      </w:tblGrid>
      <w:tr>
        <w:trPr>
          <w:trHeight w:val="548"/>
        </w:trPr>
        <w:tc>
          <w:tcPr>
            <w:tcW w:w="1041" w:type="dxa"/>
            <w:vAlign w:val="center"/>
            <w:textDirection w:val="lrTb"/>
            <w:noWrap w:val="false"/>
          </w:tcPr>
          <w:p>
            <w:pPr>
              <w:pStyle w:val="927"/>
              <w:ind w:firstLine="0"/>
              <w:jc w:val="center"/>
              <w:spacing w:line="360" w:lineRule="auto"/>
              <w:rPr>
                <w:rFonts w:cs="宋体"/>
                <w:b/>
                <w:bCs/>
                <w:color w:val="000000" w:themeColor="text1"/>
                <w:sz w:val="24"/>
                <w:highlight w:val="none"/>
                <w14:textFill>
                  <w14:solidFill>
                    <w14:schemeClr w14:val="tx1"/>
                  </w14:solidFill>
                </w14:textFill>
              </w:rPr>
            </w:pPr>
            <w:r>
              <w:rPr>
                <w:rFonts w:hint="eastAsia" w:cs="宋体"/>
                <w:b/>
                <w:bCs/>
                <w:color w:val="000000" w:themeColor="text1"/>
                <w:sz w:val="24"/>
                <w:highlight w:val="none"/>
                <w14:textFill>
                  <w14:solidFill>
                    <w14:schemeClr w14:val="tx1"/>
                  </w14:solidFill>
                </w14:textFill>
              </w:rPr>
              <w:t xml:space="preserve">期次</w:t>
            </w:r>
            <w:r/>
          </w:p>
        </w:tc>
        <w:tc>
          <w:tcPr>
            <w:tcW w:w="2719" w:type="dxa"/>
            <w:vAlign w:val="center"/>
            <w:textDirection w:val="lrTb"/>
            <w:noWrap w:val="false"/>
          </w:tcPr>
          <w:p>
            <w:pPr>
              <w:pStyle w:val="927"/>
              <w:ind w:firstLine="0"/>
              <w:jc w:val="center"/>
              <w:spacing w:line="360" w:lineRule="auto"/>
              <w:rPr>
                <w:rFonts w:cs="宋体"/>
                <w:b/>
                <w:bCs/>
                <w:color w:val="000000" w:themeColor="text1"/>
                <w:sz w:val="24"/>
                <w:highlight w:val="none"/>
                <w14:textFill>
                  <w14:solidFill>
                    <w14:schemeClr w14:val="tx1"/>
                  </w14:solidFill>
                </w14:textFill>
              </w:rPr>
            </w:pPr>
            <w:r>
              <w:rPr>
                <w:rFonts w:hint="eastAsia" w:cs="宋体"/>
                <w:b/>
                <w:bCs/>
                <w:color w:val="000000" w:themeColor="text1"/>
                <w:sz w:val="24"/>
                <w:highlight w:val="none"/>
                <w14:textFill>
                  <w14:solidFill>
                    <w14:schemeClr w14:val="tx1"/>
                  </w14:solidFill>
                </w14:textFill>
              </w:rPr>
              <w:t xml:space="preserve">付款条件</w:t>
            </w:r>
            <w:r/>
          </w:p>
        </w:tc>
        <w:tc>
          <w:tcPr>
            <w:tcW w:w="1880" w:type="dxa"/>
            <w:vAlign w:val="center"/>
            <w:textDirection w:val="lrTb"/>
            <w:noWrap w:val="false"/>
          </w:tcPr>
          <w:p>
            <w:pPr>
              <w:pStyle w:val="927"/>
              <w:ind w:firstLine="0"/>
              <w:jc w:val="center"/>
              <w:spacing w:line="360" w:lineRule="auto"/>
              <w:rPr>
                <w:rFonts w:cs="宋体"/>
                <w:b/>
                <w:bCs/>
                <w:color w:val="000000" w:themeColor="text1"/>
                <w:sz w:val="24"/>
                <w:highlight w:val="none"/>
                <w14:textFill>
                  <w14:solidFill>
                    <w14:schemeClr w14:val="tx1"/>
                  </w14:solidFill>
                </w14:textFill>
              </w:rPr>
            </w:pPr>
            <w:r>
              <w:rPr>
                <w:rFonts w:hint="eastAsia" w:cs="宋体"/>
                <w:b/>
                <w:bCs/>
                <w:color w:val="000000" w:themeColor="text1"/>
                <w:sz w:val="24"/>
                <w:highlight w:val="none"/>
                <w14:textFill>
                  <w14:solidFill>
                    <w14:schemeClr w14:val="tx1"/>
                  </w14:solidFill>
                </w14:textFill>
              </w:rPr>
              <w:t xml:space="preserve">计划付款金额（元）</w:t>
            </w:r>
            <w:r/>
          </w:p>
        </w:tc>
        <w:tc>
          <w:tcPr>
            <w:tcW w:w="1881" w:type="dxa"/>
            <w:vAlign w:val="center"/>
            <w:textDirection w:val="lrTb"/>
            <w:noWrap w:val="false"/>
          </w:tcPr>
          <w:p>
            <w:pPr>
              <w:pStyle w:val="927"/>
              <w:ind w:firstLine="0"/>
              <w:jc w:val="center"/>
              <w:spacing w:line="360" w:lineRule="auto"/>
              <w:rPr>
                <w:rFonts w:cs="宋体"/>
                <w:b/>
                <w:bCs/>
                <w:color w:val="000000" w:themeColor="text1"/>
                <w:sz w:val="24"/>
                <w:highlight w:val="none"/>
                <w14:textFill>
                  <w14:solidFill>
                    <w14:schemeClr w14:val="tx1"/>
                  </w14:solidFill>
                </w14:textFill>
              </w:rPr>
            </w:pPr>
            <w:r>
              <w:rPr>
                <w:rFonts w:hint="eastAsia" w:cs="宋体"/>
                <w:b/>
                <w:bCs/>
                <w:color w:val="000000" w:themeColor="text1"/>
                <w:sz w:val="24"/>
                <w:highlight w:val="none"/>
                <w14:textFill>
                  <w14:solidFill>
                    <w14:schemeClr w14:val="tx1"/>
                  </w14:solidFill>
                </w14:textFill>
              </w:rPr>
              <w:t xml:space="preserve">付款比例（%）</w:t>
            </w:r>
            <w:r/>
          </w:p>
        </w:tc>
        <w:tc>
          <w:tcPr>
            <w:tcW w:w="1881" w:type="dxa"/>
            <w:vAlign w:val="center"/>
            <w:textDirection w:val="lrTb"/>
            <w:noWrap w:val="false"/>
          </w:tcPr>
          <w:p>
            <w:pPr>
              <w:pStyle w:val="927"/>
              <w:ind w:firstLine="0"/>
              <w:jc w:val="center"/>
              <w:spacing w:line="360" w:lineRule="auto"/>
              <w:rPr>
                <w:rFonts w:cs="宋体"/>
                <w:b/>
                <w:bCs/>
                <w:color w:val="000000" w:themeColor="text1"/>
                <w:sz w:val="24"/>
                <w:highlight w:val="none"/>
                <w14:textFill>
                  <w14:solidFill>
                    <w14:schemeClr w14:val="tx1"/>
                  </w14:solidFill>
                </w14:textFill>
              </w:rPr>
            </w:pPr>
            <w:r>
              <w:rPr>
                <w:rFonts w:hint="eastAsia" w:cs="宋体"/>
                <w:b/>
                <w:bCs/>
                <w:color w:val="000000" w:themeColor="text1"/>
                <w:sz w:val="24"/>
                <w:highlight w:val="none"/>
                <w14:textFill>
                  <w14:solidFill>
                    <w14:schemeClr w14:val="tx1"/>
                  </w14:solidFill>
                </w14:textFill>
              </w:rPr>
              <w:t xml:space="preserve">计划支付日期</w:t>
            </w:r>
            <w:r/>
          </w:p>
        </w:tc>
      </w:tr>
      <w:tr>
        <w:trPr/>
        <w:tc>
          <w:tcPr>
            <w:tcW w:w="1041" w:type="dxa"/>
            <w:vAlign w:val="center"/>
            <w:textDirection w:val="lrTb"/>
            <w:noWrap w:val="false"/>
          </w:tcPr>
          <w:p>
            <w:pPr>
              <w:pStyle w:val="927"/>
              <w:ind w:firstLine="0"/>
              <w:jc w:val="center"/>
              <w:keepLines w:val="0"/>
              <w:keepNext w:val="0"/>
              <w:pageBreakBefore w:val="0"/>
              <w:spacing w:line="360" w:lineRule="auto"/>
              <w:widowControl w:val="off"/>
              <w:rPr>
                <w:rFonts w:hint="eastAsia" w:eastAsia="宋体" w:cs="宋体"/>
                <w:b/>
                <w:bCs/>
                <w:color w:val="000000" w:themeColor="text1"/>
                <w:sz w:val="24"/>
                <w:highlight w:val="none"/>
                <w:lang w:val="en-US" w:eastAsia="zh-CN"/>
                <w14:textFill>
                  <w14:solidFill>
                    <w14:schemeClr w14:val="tx1"/>
                  </w14:solidFill>
                </w14:textFill>
              </w:rPr>
            </w:pPr>
            <w:r>
              <w:rPr>
                <w:rFonts w:hint="eastAsia" w:cs="宋体"/>
                <w:b/>
                <w:bCs/>
                <w:color w:val="000000" w:themeColor="text1"/>
                <w:sz w:val="24"/>
                <w:highlight w:val="none"/>
                <w:lang w:val="en-US" w:eastAsia="zh-CN"/>
                <w14:textFill>
                  <w14:solidFill>
                    <w14:schemeClr w14:val="tx1"/>
                  </w14:solidFill>
                </w14:textFill>
              </w:rPr>
              <w:t xml:space="preserve">1</w:t>
            </w:r>
            <w:r/>
          </w:p>
        </w:tc>
        <w:tc>
          <w:tcPr>
            <w:tcW w:w="2719" w:type="dxa"/>
            <w:vAlign w:val="center"/>
            <w:textDirection w:val="lrTb"/>
            <w:noWrap w:val="false"/>
          </w:tcPr>
          <w:p>
            <w:pPr>
              <w:pStyle w:val="927"/>
              <w:ind w:left="0" w:firstLine="0"/>
              <w:jc w:val="center"/>
              <w:keepLines w:val="0"/>
              <w:keepNext w:val="0"/>
              <w:pageBreakBefore w:val="0"/>
              <w:spacing w:line="360" w:lineRule="auto"/>
              <w:widowControl w:val="off"/>
              <w:rPr>
                <w:rFonts w:cs="宋体"/>
                <w:b/>
                <w:bCs/>
                <w:color w:val="000000" w:themeColor="text1"/>
                <w:sz w:val="24"/>
                <w:highlight w:val="none"/>
                <w14:textFill>
                  <w14:solidFill>
                    <w14:schemeClr w14:val="tx1"/>
                  </w14:solidFill>
                </w14:textFill>
              </w:rPr>
            </w:pPr>
            <w:r>
              <w:rPr>
                <w:rFonts w:hint="eastAsia" w:cs="宋体"/>
                <w:b/>
                <w:bCs/>
                <w:color w:val="000000" w:themeColor="text1"/>
                <w:sz w:val="24"/>
                <w:highlight w:val="none"/>
                <w14:textFill>
                  <w14:solidFill>
                    <w14:schemeClr w14:val="tx1"/>
                  </w14:solidFill>
                </w14:textFill>
              </w:rPr>
              <w:t xml:space="preserve">项目实施期间，设备到齐并经采购人验收合格后</w:t>
            </w:r>
            <w:r/>
          </w:p>
        </w:tc>
        <w:tc>
          <w:tcPr>
            <w:tcW w:w="1880" w:type="dxa"/>
            <w:vAlign w:val="center"/>
            <w:textDirection w:val="lrTb"/>
            <w:noWrap w:val="false"/>
          </w:tcPr>
          <w:p>
            <w:pPr>
              <w:pStyle w:val="927"/>
              <w:ind w:firstLine="0"/>
              <w:jc w:val="center"/>
              <w:keepLines w:val="0"/>
              <w:keepNext w:val="0"/>
              <w:pageBreakBefore w:val="0"/>
              <w:spacing w:line="360" w:lineRule="auto"/>
              <w:widowControl w:val="off"/>
              <w:rPr>
                <w:rFonts w:hint="default" w:eastAsia="宋体" w:cs="宋体"/>
                <w:b/>
                <w:bCs/>
                <w:color w:val="000000" w:themeColor="text1"/>
                <w:sz w:val="24"/>
                <w:highlight w:val="none"/>
                <w:lang w:val="en-US" w:eastAsia="zh-CN"/>
                <w14:textFill>
                  <w14:solidFill>
                    <w14:schemeClr w14:val="tx1"/>
                  </w14:solidFill>
                </w14:textFill>
              </w:rPr>
            </w:pPr>
            <w:r>
              <w:rPr>
                <w:rFonts w:hint="default" w:eastAsia="宋体" w:cs="宋体"/>
                <w:b/>
                <w:bCs/>
                <w:color w:val="000000" w:themeColor="text1"/>
                <w:sz w:val="24"/>
                <w:highlight w:val="none"/>
                <w:lang w:val="en-US" w:eastAsia="zh-CN"/>
                <w14:textFill>
                  <w14:solidFill>
                    <w14:schemeClr w14:val="tx1"/>
                  </w14:solidFill>
                </w14:textFill>
              </w:rPr>
            </w:r>
            <w:r/>
          </w:p>
        </w:tc>
        <w:tc>
          <w:tcPr>
            <w:tcW w:w="1881" w:type="dxa"/>
            <w:vAlign w:val="center"/>
            <w:textDirection w:val="lrTb"/>
            <w:noWrap w:val="false"/>
          </w:tcPr>
          <w:p>
            <w:pPr>
              <w:pStyle w:val="927"/>
              <w:ind w:firstLine="0"/>
              <w:jc w:val="center"/>
              <w:keepLines w:val="0"/>
              <w:keepNext w:val="0"/>
              <w:pageBreakBefore w:val="0"/>
              <w:spacing w:line="360" w:lineRule="auto"/>
              <w:widowControl w:val="off"/>
              <w:rPr>
                <w:rFonts w:hint="default" w:eastAsia="宋体" w:cs="宋体"/>
                <w:b/>
                <w:bCs/>
                <w:color w:val="000000" w:themeColor="text1"/>
                <w:sz w:val="24"/>
                <w:highlight w:val="none"/>
                <w:lang w:val="en-US" w:eastAsia="zh-CN"/>
                <w14:textFill>
                  <w14:solidFill>
                    <w14:schemeClr w14:val="tx1"/>
                  </w14:solidFill>
                </w14:textFill>
              </w:rPr>
            </w:pPr>
            <w:r>
              <w:rPr>
                <w:rFonts w:hint="eastAsia" w:cs="宋体"/>
                <w:b/>
                <w:bCs/>
                <w:color w:val="000000" w:themeColor="text1"/>
                <w:sz w:val="24"/>
                <w:highlight w:val="none"/>
                <w:lang w:val="en-US" w:eastAsia="zh-CN"/>
                <w14:textFill>
                  <w14:solidFill>
                    <w14:schemeClr w14:val="tx1"/>
                  </w14:solidFill>
                </w14:textFill>
              </w:rPr>
              <w:t xml:space="preserve">60%</w:t>
            </w:r>
            <w:r/>
          </w:p>
        </w:tc>
        <w:tc>
          <w:tcPr>
            <w:tcW w:w="1881" w:type="dxa"/>
            <w:textDirection w:val="lrTb"/>
            <w:noWrap w:val="false"/>
          </w:tcPr>
          <w:p>
            <w:pPr>
              <w:pStyle w:val="927"/>
              <w:spacing w:line="360" w:lineRule="auto"/>
              <w:rPr>
                <w:rFonts w:cs="宋体"/>
                <w:b/>
                <w:bCs/>
                <w:color w:val="000000" w:themeColor="text1"/>
                <w:sz w:val="24"/>
                <w:highlight w:val="none"/>
                <w14:textFill>
                  <w14:solidFill>
                    <w14:schemeClr w14:val="tx1"/>
                  </w14:solidFill>
                </w14:textFill>
              </w:rPr>
            </w:pPr>
            <w:r>
              <w:rPr>
                <w:rFonts w:cs="宋体"/>
                <w:b/>
                <w:bCs/>
                <w:color w:val="000000" w:themeColor="text1"/>
                <w:sz w:val="24"/>
                <w:highlight w:val="none"/>
                <w14:textFill>
                  <w14:solidFill>
                    <w14:schemeClr w14:val="tx1"/>
                  </w14:solidFill>
                </w14:textFill>
              </w:rPr>
            </w:r>
            <w:r/>
          </w:p>
        </w:tc>
      </w:tr>
      <w:tr>
        <w:trPr/>
        <w:tc>
          <w:tcPr>
            <w:tcW w:w="1041" w:type="dxa"/>
            <w:vAlign w:val="center"/>
            <w:textDirection w:val="lrTb"/>
            <w:noWrap w:val="false"/>
          </w:tcPr>
          <w:p>
            <w:pPr>
              <w:pStyle w:val="927"/>
              <w:ind w:firstLine="0"/>
              <w:jc w:val="center"/>
              <w:keepLines w:val="0"/>
              <w:keepNext w:val="0"/>
              <w:pageBreakBefore w:val="0"/>
              <w:spacing w:line="360" w:lineRule="auto"/>
              <w:widowControl w:val="off"/>
              <w:rPr>
                <w:rFonts w:hint="eastAsia" w:eastAsia="宋体" w:cs="宋体"/>
                <w:b/>
                <w:bCs/>
                <w:color w:val="000000" w:themeColor="text1"/>
                <w:sz w:val="24"/>
                <w:highlight w:val="none"/>
                <w:lang w:val="en-US" w:eastAsia="zh-CN"/>
                <w14:textFill>
                  <w14:solidFill>
                    <w14:schemeClr w14:val="tx1"/>
                  </w14:solidFill>
                </w14:textFill>
              </w:rPr>
            </w:pPr>
            <w:r>
              <w:rPr>
                <w:rFonts w:hint="eastAsia" w:cs="宋体"/>
                <w:b/>
                <w:bCs/>
                <w:color w:val="000000" w:themeColor="text1"/>
                <w:sz w:val="24"/>
                <w:highlight w:val="none"/>
                <w:lang w:val="en-US" w:eastAsia="zh-CN"/>
                <w14:textFill>
                  <w14:solidFill>
                    <w14:schemeClr w14:val="tx1"/>
                  </w14:solidFill>
                </w14:textFill>
              </w:rPr>
              <w:t xml:space="preserve">2</w:t>
            </w:r>
            <w:r/>
          </w:p>
        </w:tc>
        <w:tc>
          <w:tcPr>
            <w:tcW w:w="2719" w:type="dxa"/>
            <w:vAlign w:val="center"/>
            <w:textDirection w:val="lrTb"/>
            <w:noWrap w:val="false"/>
          </w:tcPr>
          <w:p>
            <w:pPr>
              <w:pStyle w:val="927"/>
              <w:ind w:left="0" w:firstLine="0"/>
              <w:jc w:val="center"/>
              <w:keepLines w:val="0"/>
              <w:keepNext w:val="0"/>
              <w:pageBreakBefore w:val="0"/>
              <w:spacing w:line="360" w:lineRule="auto"/>
              <w:widowControl w:val="off"/>
              <w:rPr>
                <w:rFonts w:cs="宋体"/>
                <w:b/>
                <w:bCs/>
                <w:color w:val="000000" w:themeColor="text1"/>
                <w:sz w:val="24"/>
                <w:highlight w:val="none"/>
                <w14:textFill>
                  <w14:solidFill>
                    <w14:schemeClr w14:val="tx1"/>
                  </w14:solidFill>
                </w14:textFill>
              </w:rPr>
            </w:pPr>
            <w:r>
              <w:rPr>
                <w:rFonts w:hint="eastAsia" w:cs="宋体"/>
                <w:b/>
                <w:bCs/>
                <w:color w:val="000000" w:themeColor="text1"/>
                <w:sz w:val="24"/>
                <w:highlight w:val="none"/>
                <w14:textFill>
                  <w14:solidFill>
                    <w14:schemeClr w14:val="tx1"/>
                  </w14:solidFill>
                </w14:textFill>
              </w:rPr>
              <w:t xml:space="preserve">本项目工程竣工验收合格</w:t>
            </w:r>
            <w:r/>
          </w:p>
        </w:tc>
        <w:tc>
          <w:tcPr>
            <w:tcW w:w="1880" w:type="dxa"/>
            <w:vAlign w:val="center"/>
            <w:textDirection w:val="lrTb"/>
            <w:noWrap w:val="false"/>
          </w:tcPr>
          <w:p>
            <w:pPr>
              <w:pStyle w:val="927"/>
              <w:ind w:firstLine="0"/>
              <w:jc w:val="center"/>
              <w:keepLines w:val="0"/>
              <w:keepNext w:val="0"/>
              <w:pageBreakBefore w:val="0"/>
              <w:spacing w:line="360" w:lineRule="auto"/>
              <w:widowControl w:val="off"/>
              <w:rPr>
                <w:rFonts w:hint="default" w:eastAsia="宋体" w:cs="宋体"/>
                <w:b/>
                <w:bCs/>
                <w:color w:val="000000" w:themeColor="text1"/>
                <w:sz w:val="24"/>
                <w:highlight w:val="none"/>
                <w:lang w:val="en-US" w:eastAsia="zh-CN"/>
                <w14:textFill>
                  <w14:solidFill>
                    <w14:schemeClr w14:val="tx1"/>
                  </w14:solidFill>
                </w14:textFill>
              </w:rPr>
            </w:pPr>
            <w:r>
              <w:rPr>
                <w:rFonts w:hint="default" w:eastAsia="宋体" w:cs="宋体"/>
                <w:b/>
                <w:bCs/>
                <w:color w:val="000000" w:themeColor="text1"/>
                <w:sz w:val="24"/>
                <w:highlight w:val="none"/>
                <w:lang w:val="en-US" w:eastAsia="zh-CN"/>
                <w14:textFill>
                  <w14:solidFill>
                    <w14:schemeClr w14:val="tx1"/>
                  </w14:solidFill>
                </w14:textFill>
              </w:rPr>
            </w:r>
            <w:r/>
          </w:p>
        </w:tc>
        <w:tc>
          <w:tcPr>
            <w:tcW w:w="1881" w:type="dxa"/>
            <w:vAlign w:val="center"/>
            <w:textDirection w:val="lrTb"/>
            <w:noWrap w:val="false"/>
          </w:tcPr>
          <w:p>
            <w:pPr>
              <w:pStyle w:val="927"/>
              <w:ind w:firstLine="0"/>
              <w:jc w:val="center"/>
              <w:keepLines w:val="0"/>
              <w:keepNext w:val="0"/>
              <w:pageBreakBefore w:val="0"/>
              <w:spacing w:line="360" w:lineRule="auto"/>
              <w:widowControl w:val="off"/>
              <w:rPr>
                <w:rFonts w:hint="default" w:eastAsia="宋体" w:cs="宋体"/>
                <w:b/>
                <w:bCs/>
                <w:color w:val="000000" w:themeColor="text1"/>
                <w:sz w:val="24"/>
                <w:highlight w:val="none"/>
                <w:lang w:val="en-US" w:eastAsia="zh-CN"/>
                <w14:textFill>
                  <w14:solidFill>
                    <w14:schemeClr w14:val="tx1"/>
                  </w14:solidFill>
                </w14:textFill>
              </w:rPr>
            </w:pPr>
            <w:r>
              <w:rPr>
                <w:rFonts w:hint="eastAsia" w:cs="宋体"/>
                <w:b/>
                <w:bCs/>
                <w:color w:val="000000" w:themeColor="text1"/>
                <w:sz w:val="24"/>
                <w:highlight w:val="none"/>
                <w:lang w:val="en-US" w:eastAsia="zh-CN"/>
                <w14:textFill>
                  <w14:solidFill>
                    <w14:schemeClr w14:val="tx1"/>
                  </w14:solidFill>
                </w14:textFill>
              </w:rPr>
              <w:t xml:space="preserve">20%</w:t>
            </w:r>
            <w:r/>
          </w:p>
        </w:tc>
        <w:tc>
          <w:tcPr>
            <w:tcW w:w="1881" w:type="dxa"/>
            <w:textDirection w:val="lrTb"/>
            <w:noWrap w:val="false"/>
          </w:tcPr>
          <w:p>
            <w:pPr>
              <w:pStyle w:val="927"/>
              <w:spacing w:line="360" w:lineRule="auto"/>
              <w:rPr>
                <w:rFonts w:cs="宋体"/>
                <w:b/>
                <w:bCs/>
                <w:color w:val="000000" w:themeColor="text1"/>
                <w:sz w:val="24"/>
                <w:highlight w:val="none"/>
                <w14:textFill>
                  <w14:solidFill>
                    <w14:schemeClr w14:val="tx1"/>
                  </w14:solidFill>
                </w14:textFill>
              </w:rPr>
            </w:pPr>
            <w:r>
              <w:rPr>
                <w:rFonts w:cs="宋体"/>
                <w:b/>
                <w:bCs/>
                <w:color w:val="000000" w:themeColor="text1"/>
                <w:sz w:val="24"/>
                <w:highlight w:val="none"/>
                <w14:textFill>
                  <w14:solidFill>
                    <w14:schemeClr w14:val="tx1"/>
                  </w14:solidFill>
                </w14:textFill>
              </w:rPr>
            </w:r>
            <w:r/>
          </w:p>
        </w:tc>
      </w:tr>
      <w:tr>
        <w:trPr/>
        <w:tc>
          <w:tcPr>
            <w:tcW w:w="1041" w:type="dxa"/>
            <w:vAlign w:val="center"/>
            <w:textDirection w:val="lrTb"/>
            <w:noWrap w:val="false"/>
          </w:tcPr>
          <w:p>
            <w:pPr>
              <w:pStyle w:val="927"/>
              <w:ind w:firstLine="0"/>
              <w:jc w:val="center"/>
              <w:keepLines w:val="0"/>
              <w:keepNext w:val="0"/>
              <w:pageBreakBefore w:val="0"/>
              <w:spacing w:line="360" w:lineRule="auto"/>
              <w:widowControl w:val="off"/>
              <w:rPr>
                <w:rFonts w:hint="eastAsia" w:eastAsia="宋体" w:cs="宋体"/>
                <w:b/>
                <w:bCs/>
                <w:color w:val="000000" w:themeColor="text1"/>
                <w:sz w:val="24"/>
                <w:highlight w:val="none"/>
                <w:lang w:val="en-US" w:eastAsia="zh-CN"/>
                <w14:textFill>
                  <w14:solidFill>
                    <w14:schemeClr w14:val="tx1"/>
                  </w14:solidFill>
                </w14:textFill>
              </w:rPr>
            </w:pPr>
            <w:r>
              <w:rPr>
                <w:rFonts w:hint="eastAsia" w:cs="宋体"/>
                <w:b/>
                <w:bCs/>
                <w:color w:val="000000" w:themeColor="text1"/>
                <w:sz w:val="24"/>
                <w:highlight w:val="none"/>
                <w:lang w:val="en-US" w:eastAsia="zh-CN"/>
                <w14:textFill>
                  <w14:solidFill>
                    <w14:schemeClr w14:val="tx1"/>
                  </w14:solidFill>
                </w14:textFill>
              </w:rPr>
              <w:t xml:space="preserve">3</w:t>
            </w:r>
            <w:r/>
          </w:p>
        </w:tc>
        <w:tc>
          <w:tcPr>
            <w:tcW w:w="2719" w:type="dxa"/>
            <w:vAlign w:val="center"/>
            <w:textDirection w:val="lrTb"/>
            <w:noWrap w:val="false"/>
          </w:tcPr>
          <w:p>
            <w:pPr>
              <w:pStyle w:val="927"/>
              <w:ind w:firstLine="0"/>
              <w:jc w:val="center"/>
              <w:keepLines w:val="0"/>
              <w:keepNext w:val="0"/>
              <w:pageBreakBefore w:val="0"/>
              <w:spacing w:line="360" w:lineRule="auto"/>
              <w:widowControl w:val="off"/>
              <w:rPr>
                <w:rFonts w:cs="宋体"/>
                <w:b/>
                <w:bCs/>
                <w:color w:val="000000" w:themeColor="text1"/>
                <w:sz w:val="24"/>
                <w:highlight w:val="none"/>
                <w14:textFill>
                  <w14:solidFill>
                    <w14:schemeClr w14:val="tx1"/>
                  </w14:solidFill>
                </w14:textFill>
              </w:rPr>
            </w:pPr>
            <w:r>
              <w:rPr>
                <w:rFonts w:hint="eastAsia" w:cs="宋体"/>
                <w:b/>
                <w:bCs/>
                <w:color w:val="000000" w:themeColor="text1"/>
                <w:sz w:val="24"/>
                <w:highlight w:val="none"/>
                <w14:textFill>
                  <w14:solidFill>
                    <w14:schemeClr w14:val="tx1"/>
                  </w14:solidFill>
                </w14:textFill>
              </w:rPr>
              <w:t xml:space="preserve">审计结束，承包人先向学院支付审定金额的3%工程质保金（以转账形式支付至学院指定账户）</w:t>
            </w:r>
            <w:r/>
          </w:p>
        </w:tc>
        <w:tc>
          <w:tcPr>
            <w:tcW w:w="1880" w:type="dxa"/>
            <w:vAlign w:val="center"/>
            <w:textDirection w:val="lrTb"/>
            <w:noWrap w:val="false"/>
          </w:tcPr>
          <w:p>
            <w:pPr>
              <w:pStyle w:val="927"/>
              <w:ind w:firstLine="0"/>
              <w:jc w:val="center"/>
              <w:keepLines w:val="0"/>
              <w:keepNext w:val="0"/>
              <w:pageBreakBefore w:val="0"/>
              <w:spacing w:line="360" w:lineRule="auto"/>
              <w:widowControl w:val="off"/>
              <w:rPr>
                <w:rFonts w:cs="宋体"/>
                <w:b/>
                <w:bCs/>
                <w:color w:val="000000" w:themeColor="text1"/>
                <w:sz w:val="24"/>
                <w:highlight w:val="none"/>
                <w14:textFill>
                  <w14:solidFill>
                    <w14:schemeClr w14:val="tx1"/>
                  </w14:solidFill>
                </w14:textFill>
              </w:rPr>
            </w:pPr>
            <w:r>
              <w:rPr>
                <w:rFonts w:cs="宋体"/>
                <w:b/>
                <w:bCs/>
                <w:color w:val="000000" w:themeColor="text1"/>
                <w:sz w:val="24"/>
                <w:highlight w:val="none"/>
                <w14:textFill>
                  <w14:solidFill>
                    <w14:schemeClr w14:val="tx1"/>
                  </w14:solidFill>
                </w14:textFill>
              </w:rPr>
            </w:r>
            <w:r/>
          </w:p>
        </w:tc>
        <w:tc>
          <w:tcPr>
            <w:tcW w:w="1881" w:type="dxa"/>
            <w:vAlign w:val="center"/>
            <w:textDirection w:val="lrTb"/>
            <w:noWrap w:val="false"/>
          </w:tcPr>
          <w:p>
            <w:pPr>
              <w:pStyle w:val="927"/>
              <w:ind w:firstLine="0"/>
              <w:jc w:val="center"/>
              <w:keepLines w:val="0"/>
              <w:keepNext w:val="0"/>
              <w:pageBreakBefore w:val="0"/>
              <w:spacing w:line="360" w:lineRule="auto"/>
              <w:widowControl w:val="off"/>
              <w:rPr>
                <w:rFonts w:hint="default" w:eastAsia="宋体" w:cs="宋体"/>
                <w:b/>
                <w:bCs/>
                <w:color w:val="000000" w:themeColor="text1"/>
                <w:sz w:val="24"/>
                <w:highlight w:val="none"/>
                <w:lang w:val="en-US" w:eastAsia="zh-CN"/>
                <w14:textFill>
                  <w14:solidFill>
                    <w14:schemeClr w14:val="tx1"/>
                  </w14:solidFill>
                </w14:textFill>
              </w:rPr>
            </w:pPr>
            <w:r>
              <w:rPr>
                <w:rFonts w:hint="eastAsia" w:cs="宋体"/>
                <w:b/>
                <w:bCs/>
                <w:color w:val="000000" w:themeColor="text1"/>
                <w:sz w:val="24"/>
                <w:highlight w:val="none"/>
                <w:lang w:val="en-US" w:eastAsia="zh-CN"/>
                <w14:textFill>
                  <w14:solidFill>
                    <w14:schemeClr w14:val="tx1"/>
                  </w14:solidFill>
                </w14:textFill>
              </w:rPr>
              <w:t xml:space="preserve">20%</w:t>
            </w:r>
            <w:r/>
          </w:p>
        </w:tc>
        <w:tc>
          <w:tcPr>
            <w:tcW w:w="1881" w:type="dxa"/>
            <w:textDirection w:val="lrTb"/>
            <w:noWrap w:val="false"/>
          </w:tcPr>
          <w:p>
            <w:pPr>
              <w:pStyle w:val="927"/>
              <w:spacing w:line="360" w:lineRule="auto"/>
              <w:rPr>
                <w:rFonts w:cs="宋体"/>
                <w:b/>
                <w:bCs/>
                <w:color w:val="000000" w:themeColor="text1"/>
                <w:sz w:val="24"/>
                <w:highlight w:val="none"/>
                <w14:textFill>
                  <w14:solidFill>
                    <w14:schemeClr w14:val="tx1"/>
                  </w14:solidFill>
                </w14:textFill>
              </w:rPr>
            </w:pPr>
            <w:r>
              <w:rPr>
                <w:rFonts w:cs="宋体"/>
                <w:b/>
                <w:bCs/>
                <w:color w:val="000000" w:themeColor="text1"/>
                <w:sz w:val="24"/>
                <w:highlight w:val="none"/>
                <w14:textFill>
                  <w14:solidFill>
                    <w14:schemeClr w14:val="tx1"/>
                  </w14:solidFill>
                </w14:textFill>
              </w:rPr>
            </w:r>
            <w:r/>
          </w:p>
        </w:tc>
      </w:tr>
    </w:tbl>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12.4.2 进度付款申请单的编制</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关于进度付款申请单编制的约定：</w:t>
      </w:r>
      <w:r>
        <w:rPr>
          <w:rFonts w:hint="eastAsia" w:ascii="宋体" w:hAnsi="宋体" w:cs="宋体"/>
          <w:bCs/>
          <w:color w:val="000000" w:themeColor="text1"/>
          <w:sz w:val="24"/>
          <w:highlight w:val="none"/>
          <w:u w:val="single"/>
          <w14:textFill>
            <w14:solidFill>
              <w14:schemeClr w14:val="tx1"/>
            </w14:solidFill>
          </w14:textFill>
        </w:rPr>
        <w:t xml:space="preserve">按通用条款执行</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rPr>
          <w:rFonts w:hint="eastAsia" w:ascii="宋体" w:hAnsi="宋体" w:cs="宋体"/>
          <w:color w:val="000000" w:themeColor="text1"/>
          <w:sz w:val="24"/>
          <w:highlight w:val="none"/>
          <w14:textFill>
            <w14:solidFill>
              <w14:schemeClr w14:val="tx1"/>
            </w14:solidFill>
          </w14:textFill>
        </w:rPr>
        <w:t xml:space="preserve">2.4.3 进度付款申请单的提交</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（1）单价合同进度付款申请单提交的约定：</w:t>
      </w:r>
      <w:r>
        <w:rPr>
          <w:rFonts w:hint="eastAsia" w:ascii="宋体" w:hAnsi="宋体" w:cs="宋体"/>
          <w:bCs/>
          <w:color w:val="000000" w:themeColor="text1"/>
          <w:sz w:val="24"/>
          <w:highlight w:val="none"/>
          <w:u w:val="single"/>
          <w14:textFill>
            <w14:solidFill>
              <w14:schemeClr w14:val="tx1"/>
            </w14:solidFill>
          </w14:textFill>
        </w:rPr>
        <w:t xml:space="preserve">按通用条款执行</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（2）总价合同进度付款申请单提交的约定：</w:t>
      </w:r>
      <w:r>
        <w:rPr>
          <w:rFonts w:hint="eastAsia" w:ascii="宋体" w:hAnsi="宋体" w:cs="宋体"/>
          <w:bCs/>
          <w:color w:val="000000" w:themeColor="text1"/>
          <w:sz w:val="24"/>
          <w:highlight w:val="none"/>
          <w:u w:val="single"/>
          <w14:textFill>
            <w14:solidFill>
              <w14:schemeClr w14:val="tx1"/>
            </w14:solidFill>
          </w14:textFill>
        </w:rPr>
        <w:t xml:space="preserve">不采用</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（3）其他价格形式合同进度付款申请单提交的约定：</w:t>
      </w:r>
      <w:r>
        <w:rPr>
          <w:rFonts w:hint="eastAsia" w:ascii="宋体" w:hAnsi="宋体" w:cs="宋体"/>
          <w:bCs/>
          <w:color w:val="000000" w:themeColor="text1"/>
          <w:sz w:val="24"/>
          <w:highlight w:val="none"/>
          <w:u w:val="single"/>
          <w14:textFill>
            <w14:solidFill>
              <w14:schemeClr w14:val="tx1"/>
            </w14:solidFill>
          </w14:textFill>
        </w:rPr>
        <w:t xml:space="preserve">不采用</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12.4.4 进度款审核和支付</w:t>
      </w:r>
      <w:r/>
    </w:p>
    <w:p>
      <w:pPr>
        <w:ind w:firstLine="480"/>
        <w:jc w:val="left"/>
        <w:spacing w:line="30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（1）监理人审查并报送发包人的期限：</w:t>
      </w:r>
      <w:r>
        <w:rPr>
          <w:rFonts w:hint="eastAsia" w:ascii="宋体" w:hAnsi="宋体" w:cs="宋体"/>
          <w:bCs/>
          <w:color w:val="000000" w:themeColor="text1"/>
          <w:sz w:val="24"/>
          <w:highlight w:val="none"/>
          <w:u w:val="single"/>
          <w14:textFill>
            <w14:solidFill>
              <w14:schemeClr w14:val="tx1"/>
            </w14:solidFill>
          </w14:textFill>
        </w:rPr>
        <w:t xml:space="preserve">按通用条款执行</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发包人完成审批并签发进度款支付证书的期限：</w:t>
      </w:r>
      <w:r>
        <w:rPr>
          <w:rFonts w:hint="eastAsia" w:ascii="宋体" w:hAnsi="宋体" w:cs="宋体"/>
          <w:bCs/>
          <w:color w:val="000000" w:themeColor="text1"/>
          <w:sz w:val="24"/>
          <w:highlight w:val="none"/>
          <w:u w:val="single"/>
          <w14:textFill>
            <w14:solidFill>
              <w14:schemeClr w14:val="tx1"/>
            </w14:solidFill>
          </w14:textFill>
        </w:rPr>
        <w:t xml:space="preserve">按通用条款执行</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（2）发包人支付进度款的期限：</w:t>
      </w:r>
      <w:r>
        <w:rPr>
          <w:rFonts w:hint="eastAsia" w:ascii="宋体" w:hAnsi="宋体" w:cs="宋体"/>
          <w:bCs/>
          <w:color w:val="000000" w:themeColor="text1"/>
          <w:sz w:val="24"/>
          <w:highlight w:val="none"/>
          <w:u w:val="single"/>
          <w14:textFill>
            <w14:solidFill>
              <w14:schemeClr w14:val="tx1"/>
            </w14:solidFill>
          </w14:textFill>
        </w:rPr>
        <w:t xml:space="preserve">按通用条款执行</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发包人逾期支付进度款的违约金的计算方式：</w:t>
      </w:r>
      <w:r>
        <w:rPr>
          <w:rFonts w:hint="eastAsia" w:ascii="宋体" w:hAnsi="宋体" w:cs="宋体"/>
          <w:bCs/>
          <w:color w:val="000000" w:themeColor="text1"/>
          <w:sz w:val="24"/>
          <w:highlight w:val="none"/>
          <w:u w:val="single"/>
          <w14:textFill>
            <w14:solidFill>
              <w14:schemeClr w14:val="tx1"/>
            </w14:solidFill>
          </w14:textFill>
        </w:rPr>
        <w:t xml:space="preserve">按通用条款执行</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12.4.5 支付分解表的编制</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（1）总价合同支付分解表的编制与审批：</w:t>
      </w:r>
      <w:r>
        <w:rPr>
          <w:rFonts w:hint="eastAsia" w:ascii="宋体" w:hAnsi="宋体" w:cs="宋体"/>
          <w:bCs/>
          <w:color w:val="000000" w:themeColor="text1"/>
          <w:sz w:val="24"/>
          <w:highlight w:val="none"/>
          <w:u w:val="single"/>
          <w14:textFill>
            <w14:solidFill>
              <w14:schemeClr w14:val="tx1"/>
            </w14:solidFill>
          </w14:textFill>
        </w:rPr>
        <w:t xml:space="preserve">按通用条款执行</w:t>
      </w:r>
      <w:r>
        <w:rPr>
          <w:rFonts w:hint="eastAsia" w:ascii="宋体" w:hAnsi="宋体" w:cs="宋体"/>
          <w:color w:val="000000" w:themeColor="text1"/>
          <w:sz w:val="24"/>
          <w:highlight w:val="none"/>
          <w14:textFill>
            <w14:solidFill>
              <w14:schemeClr w14:val="tx1"/>
            </w14:solidFill>
          </w14:textFill>
        </w:rPr>
        <w:t xml:space="preserve">。 </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（2）单价合同的总价项目支付分解表的编制与审批：</w:t>
      </w:r>
      <w:r>
        <w:rPr>
          <w:rFonts w:hint="eastAsia" w:ascii="宋体" w:hAnsi="宋体" w:cs="宋体"/>
          <w:bCs/>
          <w:color w:val="000000" w:themeColor="text1"/>
          <w:sz w:val="24"/>
          <w:highlight w:val="none"/>
          <w:u w:val="single"/>
          <w14:textFill>
            <w14:solidFill>
              <w14:schemeClr w14:val="tx1"/>
            </w14:solidFill>
          </w14:textFill>
        </w:rPr>
        <w:t xml:space="preserve">按通用条款执行</w:t>
      </w:r>
      <w:r>
        <w:rPr>
          <w:rFonts w:hint="eastAsia" w:ascii="宋体" w:hAnsi="宋体" w:cs="宋体"/>
          <w:color w:val="000000" w:themeColor="text1"/>
          <w:sz w:val="24"/>
          <w:highlight w:val="none"/>
          <w14:textFill>
            <w14:solidFill>
              <w14:schemeClr w14:val="tx1"/>
            </w14:solidFill>
          </w14:textFill>
        </w:rPr>
        <w:t xml:space="preserve">。</w:t>
      </w:r>
      <w:bookmarkEnd w:id="587"/>
      <w:r/>
    </w:p>
    <w:p>
      <w:pPr>
        <w:pStyle w:val="849"/>
        <w:ind w:firstLine="482"/>
        <w:spacing w:before="0" w:after="0" w:line="300" w:lineRule="auto"/>
        <w:rPr>
          <w:rFonts w:ascii="宋体" w:hAnsi="宋体" w:eastAsia="宋体" w:cs="宋体"/>
          <w:bCs w:val="0"/>
          <w:color w:val="000000" w:themeColor="text1"/>
          <w:sz w:val="24"/>
          <w:szCs w:val="24"/>
          <w:highlight w:val="none"/>
          <w:lang w:eastAsia="zh-CN"/>
          <w14:textFill>
            <w14:solidFill>
              <w14:schemeClr w14:val="tx1"/>
            </w14:solidFill>
          </w14:textFill>
        </w:rPr>
      </w:pPr>
      <w:r/>
      <w:bookmarkStart w:id="759" w:name="_Toc351203645"/>
      <w:r/>
      <w:bookmarkStart w:id="760" w:name="_Toc296944558"/>
      <w:r/>
      <w:bookmarkStart w:id="761" w:name="_Toc300935015"/>
      <w:r/>
      <w:bookmarkStart w:id="762" w:name="_Toc292559424"/>
      <w:r/>
      <w:bookmarkStart w:id="763" w:name="_Toc297216223"/>
      <w:r/>
      <w:bookmarkStart w:id="764" w:name="_Toc297120519"/>
      <w:r/>
      <w:bookmarkStart w:id="765" w:name="_Toc296347218"/>
      <w:r/>
      <w:bookmarkStart w:id="766" w:name="_Toc297048405"/>
      <w:r/>
      <w:bookmarkStart w:id="767" w:name="_Toc292559929"/>
      <w:r/>
      <w:bookmarkStart w:id="768" w:name="_Toc296346720"/>
      <w:r/>
      <w:bookmarkStart w:id="769" w:name="_Toc297123564"/>
      <w:r/>
      <w:bookmarkStart w:id="770" w:name="_Toc303539172"/>
      <w:r/>
      <w:bookmarkStart w:id="771" w:name="_Toc296503219"/>
      <w:r/>
      <w:bookmarkStart w:id="772" w:name="_Toc296891259"/>
      <w:r/>
      <w:bookmarkStart w:id="773" w:name="_Toc312678053"/>
      <w:r/>
      <w:bookmarkStart w:id="774" w:name="_Toc296891047"/>
      <w:r/>
      <w:bookmarkStart w:id="775" w:name="_Toc304295593"/>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13. 验收和工程试车</w:t>
      </w:r>
      <w:bookmarkEnd w:id="759"/>
      <w:r/>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r/>
    </w:p>
    <w:p>
      <w:pPr>
        <w:ind w:firstLine="482"/>
        <w:spacing w:line="30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13.1 分部分项工程验收</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13.1.1监理人不能按时进行验收时，应提前</w:t>
      </w:r>
      <w:r>
        <w:rPr>
          <w:rFonts w:hint="eastAsia" w:ascii="宋体" w:hAnsi="宋体" w:cs="宋体"/>
          <w:bCs/>
          <w:color w:val="000000" w:themeColor="text1"/>
          <w:sz w:val="24"/>
          <w:highlight w:val="none"/>
          <w:u w:val="single"/>
          <w14:textFill>
            <w14:solidFill>
              <w14:schemeClr w14:val="tx1"/>
            </w14:solidFill>
          </w14:textFill>
        </w:rPr>
        <w:t xml:space="preserve">24</w:t>
      </w:r>
      <w:r>
        <w:rPr>
          <w:rFonts w:hint="eastAsia" w:ascii="宋体" w:hAnsi="宋体" w:cs="宋体"/>
          <w:color w:val="000000" w:themeColor="text1"/>
          <w:sz w:val="24"/>
          <w:highlight w:val="none"/>
          <w14:textFill>
            <w14:solidFill>
              <w14:schemeClr w14:val="tx1"/>
            </w14:solidFill>
          </w14:textFill>
        </w:rPr>
        <w:t xml:space="preserve">小时提交书面延期要求。</w:t>
      </w:r>
      <w:r/>
    </w:p>
    <w:p>
      <w:pPr>
        <w:ind w:firstLine="480"/>
        <w:jc w:val="left"/>
        <w:spacing w:line="30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关于延期最长不得超过：</w:t>
      </w:r>
      <w:r>
        <w:rPr>
          <w:rFonts w:hint="eastAsia" w:ascii="宋体" w:hAnsi="宋体" w:cs="宋体"/>
          <w:bCs/>
          <w:color w:val="000000" w:themeColor="text1"/>
          <w:sz w:val="24"/>
          <w:highlight w:val="none"/>
          <w:u w:val="single"/>
          <w14:textFill>
            <w14:solidFill>
              <w14:schemeClr w14:val="tx1"/>
            </w14:solidFill>
          </w14:textFill>
        </w:rPr>
        <w:t xml:space="preserve">48</w:t>
      </w:r>
      <w:r>
        <w:rPr>
          <w:rFonts w:hint="eastAsia" w:ascii="宋体" w:hAnsi="宋体" w:cs="宋体"/>
          <w:color w:val="000000" w:themeColor="text1"/>
          <w:sz w:val="24"/>
          <w:highlight w:val="none"/>
          <w14:textFill>
            <w14:solidFill>
              <w14:schemeClr w14:val="tx1"/>
            </w14:solidFill>
          </w14:textFill>
        </w:rPr>
        <w:t xml:space="preserve">小时。</w:t>
      </w:r>
      <w:r/>
    </w:p>
    <w:p>
      <w:pPr>
        <w:ind w:firstLine="482"/>
        <w:spacing w:line="300" w:lineRule="auto"/>
        <w:rPr>
          <w:rFonts w:ascii="宋体" w:hAnsi="宋体" w:cs="宋体"/>
          <w:b/>
          <w:bCs/>
          <w:color w:val="000000" w:themeColor="text1"/>
          <w:sz w:val="24"/>
          <w:highlight w:val="none"/>
          <w14:textFill>
            <w14:solidFill>
              <w14:schemeClr w14:val="tx1"/>
            </w14:solidFill>
          </w14:textFill>
        </w:rPr>
      </w:pPr>
      <w:r/>
      <w:bookmarkStart w:id="776" w:name="_Toc300935016"/>
      <w:r/>
      <w:bookmarkStart w:id="777" w:name="_Toc292559428"/>
      <w:r/>
      <w:bookmarkStart w:id="778" w:name="_Toc297123565"/>
      <w:r/>
      <w:bookmarkStart w:id="779" w:name="_Toc304295596"/>
      <w:r/>
      <w:bookmarkStart w:id="780" w:name="_Toc296891051"/>
      <w:r/>
      <w:bookmarkStart w:id="781" w:name="_Toc297120523"/>
      <w:r/>
      <w:bookmarkStart w:id="782" w:name="_Toc296891263"/>
      <w:r/>
      <w:bookmarkStart w:id="783" w:name="_Toc296944562"/>
      <w:r/>
      <w:bookmarkStart w:id="784" w:name="_Toc296503223"/>
      <w:r/>
      <w:bookmarkStart w:id="785" w:name="_Toc303539173"/>
      <w:r/>
      <w:bookmarkStart w:id="786" w:name="_Toc297216224"/>
      <w:r/>
      <w:bookmarkStart w:id="787" w:name="_Toc312678056"/>
      <w:r/>
      <w:bookmarkStart w:id="788" w:name="_Toc292559933"/>
      <w:r/>
      <w:bookmarkStart w:id="789" w:name="_Toc296347222"/>
      <w:r/>
      <w:bookmarkStart w:id="790" w:name="_Toc297048409"/>
      <w:r/>
      <w:bookmarkStart w:id="791" w:name="_Toc296346724"/>
      <w:r/>
      <w:bookmarkStart w:id="792" w:name="_Toc267251475"/>
      <w:r/>
      <w:bookmarkStart w:id="793" w:name="_Toc267251476"/>
      <w:r/>
      <w:bookmarkStart w:id="794" w:name="_Toc267251470"/>
      <w:r/>
      <w:bookmarkStart w:id="795" w:name="_Toc267251471"/>
      <w:r/>
      <w:bookmarkStart w:id="796" w:name="_Toc267251473"/>
      <w:r/>
      <w:bookmarkStart w:id="797" w:name="_Toc267251474"/>
      <w:r/>
      <w:bookmarkStart w:id="798" w:name="_Toc267251472"/>
      <w:r>
        <w:rPr>
          <w:rFonts w:hint="eastAsia" w:ascii="宋体" w:hAnsi="宋体" w:cs="宋体"/>
          <w:b/>
          <w:bCs/>
          <w:color w:val="000000" w:themeColor="text1"/>
          <w:sz w:val="24"/>
          <w:highlight w:val="none"/>
          <w14:textFill>
            <w14:solidFill>
              <w14:schemeClr w14:val="tx1"/>
            </w14:solidFill>
          </w14:textFill>
        </w:rPr>
        <w:t xml:space="preserve">13.2 竣工验收</w:t>
      </w:r>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bookmarkStart w:id="799" w:name="_Toc280868704"/>
      <w:r/>
      <w:bookmarkStart w:id="800" w:name="_Toc280868705"/>
      <w:r/>
      <w:bookmarkStart w:id="801" w:name="_Toc280868706"/>
      <w:r/>
      <w:bookmarkStart w:id="802" w:name="_Toc280868707"/>
      <w:r/>
      <w:bookmarkStart w:id="803" w:name="_Toc280868708"/>
      <w:r/>
      <w:bookmarkStart w:id="804" w:name="_Toc280868709"/>
      <w:r>
        <w:rPr>
          <w:rFonts w:hint="eastAsia" w:ascii="宋体" w:hAnsi="宋体" w:cs="宋体"/>
          <w:color w:val="000000" w:themeColor="text1"/>
          <w:sz w:val="24"/>
          <w:highlight w:val="none"/>
          <w14:textFill>
            <w14:solidFill>
              <w14:schemeClr w14:val="tx1"/>
            </w14:solidFill>
          </w14:textFill>
        </w:rPr>
        <w:t xml:space="preserve">13.2.1竣工验收程序</w:t>
      </w:r>
      <w:bookmarkEnd w:id="799"/>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关于竣工验收程序的约定：</w:t>
      </w:r>
      <w:r>
        <w:rPr>
          <w:rFonts w:hint="eastAsia" w:ascii="宋体" w:hAnsi="宋体" w:cs="宋体"/>
          <w:bCs/>
          <w:color w:val="000000" w:themeColor="text1"/>
          <w:sz w:val="24"/>
          <w:highlight w:val="none"/>
          <w:u w:val="single"/>
          <w14:textFill>
            <w14:solidFill>
              <w14:schemeClr w14:val="tx1"/>
            </w14:solidFill>
          </w14:textFill>
        </w:rPr>
        <w:t xml:space="preserve">按通用条款执行，并符合下列要求：</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1、竣工验收按照承包人自评、监理核定、发包人验收的流程进行。工程完工后，承包人通过自检认为达到竣工验收条件时，应按国家关于工程竣工有关规定，向发包人提供完整的竣工档案资料、竣工验收报告等满足竣工验收的资料。</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2、发包人收到上述资料后组织有关部门进行全面验收。承包人提供的验收资料须完整且不符合相关规定要求。发包人组织验收后，给予批准或提出修改意见。若初次验收未通过，承包人应按发包人所提修改意见进行整改并承担整改费用，完成后再次申报。</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3、承包人提供竣工图的约定：工程竣工验收合格之日起30日内提供能够反映各类变更和工程实际情况的竣工图陆套，包含电子稿。</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4、竣工交付使用的过程必须符合下列要求：</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（1）完成设计图和施工合同规定的工作内容，达到国家规定的竣工验收条件。工程质量应符合国家现行的有关法律、法规、技术标准、设计文件及合同规定的要求，并经质量监督机构核定为合格工程。</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（2）工程所用的设备和主材料、构配件具有产品质量出场检验合格证明、技术标准、必要的进场试验报告，并达到相应的验收标准。</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（3）具有完整的工程技术档案和竣工图，已办理工程竣工交付使用的有关手续。</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（4）已签署工程保修书。</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5、工程竣工验收一次性通过，承包人送交竣工验收报告的日期为实际竣工日期。工程首次验收未通过，实际竣工日期为承包人整改后再次验收合格之日。</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发包人不按照本项约定组织竣工验收、颁发工程接收证书的违约金的计算方法：</w:t>
      </w:r>
      <w:r>
        <w:rPr>
          <w:rFonts w:hint="eastAsia" w:ascii="宋体" w:hAnsi="宋体" w:cs="宋体"/>
          <w:bCs/>
          <w:color w:val="000000" w:themeColor="text1"/>
          <w:sz w:val="24"/>
          <w:highlight w:val="none"/>
          <w:u w:val="single"/>
          <w14:textFill>
            <w14:solidFill>
              <w14:schemeClr w14:val="tx1"/>
            </w14:solidFill>
          </w14:textFill>
        </w:rPr>
        <w:t xml:space="preserve">按通用条款执行</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双方应及时办理隐蔽工程和中间工程的检查与验收手续。乙方需提前3日通知发包人参加验收，发包人不按时参加隐蔽工程和中间工程验收，承包人可自行验收，发包人应予承认。若发包人要求复验，承包人应按要求办理复验。若复验合格，发包人应承担复验费用由此造成停工，工期顺延；若复验不合格，其复验及返工费用由承包人承担，但工期也予顺延。若承包人未履行提前通知发包人的义务，产生的一切费用由承包人承担，且工期不顺延。</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7、工程竣工后，承包人应通知发包人验收，发包人自接到验收通知</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14:textFill>
            <w14:solidFill>
              <w14:schemeClr w14:val="tx1"/>
            </w14:solidFill>
          </w14:textFill>
        </w:rPr>
        <w:t xml:space="preserve">2</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日内组织验收，并办理验收、移交手续。如发包人在规定时间内未能组织验收，需及时通知承包人，另定验收日期。但发包人应承认承包人竣工日期。</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8、工程交付尚未使用期间凡属工程遗留问题，承包人在接到发包人书面通知后三天内组织整改。逾期发包人将组织整改，一切费用由承包人承担。</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通过验收后5个日历天内承包人必须将施工队伍、施工机具、周转材料等全部撤清，所有建筑垃圾等必须清运，保持施工现场平整、整洁，塔吊、井架基础等清理完成，如不清运，发包人委托清运，费用由承包人承担在决算中扣除；发包人提供的现场设施应完好，损坏需赔偿。</w:t>
      </w:r>
      <w:bookmarkEnd w:id="800"/>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13.2.2移交、接收全部与部分工程</w:t>
      </w:r>
      <w:bookmarkEnd w:id="801"/>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承包人向发包人移交工程的期限：</w:t>
      </w:r>
      <w:r>
        <w:rPr>
          <w:rFonts w:hint="eastAsia" w:ascii="宋体" w:hAnsi="宋体" w:cs="宋体"/>
          <w:bCs/>
          <w:color w:val="000000" w:themeColor="text1"/>
          <w:sz w:val="24"/>
          <w:highlight w:val="none"/>
          <w:u w:val="single"/>
          <w14:textFill>
            <w14:solidFill>
              <w14:schemeClr w14:val="tx1"/>
            </w14:solidFill>
          </w14:textFill>
        </w:rPr>
        <w:t xml:space="preserve">按照发包人要求，或竣工验收合格后28天内</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发包人未按本合同约定接收全部或部分工程的，违约金的计算方法为：</w:t>
      </w:r>
      <w:bookmarkStart w:id="805" w:name="_Hlk68179099"/>
      <w:r>
        <w:rPr>
          <w:rFonts w:hint="eastAsia" w:ascii="宋体" w:hAnsi="宋体" w:cs="宋体"/>
          <w:bCs/>
          <w:color w:val="000000" w:themeColor="text1"/>
          <w:sz w:val="24"/>
          <w:highlight w:val="none"/>
          <w:u w:val="single"/>
          <w14:textFill>
            <w14:solidFill>
              <w14:schemeClr w14:val="tx1"/>
            </w14:solidFill>
          </w14:textFill>
        </w:rPr>
        <w:t xml:space="preserve">按通用条款执行</w:t>
      </w:r>
      <w:bookmarkEnd w:id="805"/>
      <w:r>
        <w:rPr>
          <w:rFonts w:hint="eastAsia" w:ascii="宋体" w:hAnsi="宋体" w:cs="宋体"/>
          <w:color w:val="000000" w:themeColor="text1"/>
          <w:sz w:val="24"/>
          <w:highlight w:val="none"/>
          <w14:textFill>
            <w14:solidFill>
              <w14:schemeClr w14:val="tx1"/>
            </w14:solidFill>
          </w14:textFill>
        </w:rPr>
        <w:t xml:space="preserve">。</w:t>
      </w:r>
      <w:bookmarkEnd w:id="802"/>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bookmarkStart w:id="806" w:name="OLE_LINK15"/>
      <w:r>
        <w:rPr>
          <w:rFonts w:hint="eastAsia" w:ascii="宋体" w:hAnsi="宋体" w:cs="宋体"/>
          <w:color w:val="000000" w:themeColor="text1"/>
          <w:sz w:val="24"/>
          <w:highlight w:val="none"/>
          <w14:textFill>
            <w14:solidFill>
              <w14:schemeClr w14:val="tx1"/>
            </w14:solidFill>
          </w14:textFill>
        </w:rPr>
        <w:t xml:space="preserve">承包人未按时移交工程的，违约金的计算方法为：逾期竣工，每逾期一天，承包人支付发包人5000元违约金</w:t>
      </w:r>
      <w:r>
        <w:rPr>
          <w:rFonts w:hint="eastAsia" w:ascii="宋体" w:hAnsi="宋体" w:cs="宋体"/>
          <w:bCs/>
          <w:color w:val="000000" w:themeColor="text1"/>
          <w:sz w:val="24"/>
          <w:highlight w:val="none"/>
          <w:u w:val="single"/>
          <w14:textFill>
            <w14:solidFill>
              <w14:schemeClr w14:val="tx1"/>
            </w14:solidFill>
          </w14:textFill>
        </w:rPr>
        <w:t xml:space="preserve">，最多不超过合同金额的10% </w:t>
      </w:r>
      <w:r>
        <w:rPr>
          <w:rFonts w:hint="eastAsia" w:ascii="宋体" w:hAnsi="宋体" w:cs="宋体"/>
          <w:color w:val="000000" w:themeColor="text1"/>
          <w:sz w:val="24"/>
          <w:highlight w:val="none"/>
          <w14:textFill>
            <w14:solidFill>
              <w14:schemeClr w14:val="tx1"/>
            </w14:solidFill>
          </w14:textFill>
        </w:rPr>
        <w:t xml:space="preserve">。</w:t>
      </w:r>
      <w:bookmarkEnd w:id="806"/>
      <w:r/>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13.3 工程试车</w:t>
      </w:r>
      <w:bookmarkEnd w:id="803"/>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13.3.1 试车程序</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工程试车内容：</w:t>
      </w:r>
      <w:r>
        <w:rPr>
          <w:rFonts w:hint="eastAsia" w:ascii="宋体" w:hAnsi="宋体" w:cs="宋体"/>
          <w:bCs/>
          <w:color w:val="000000" w:themeColor="text1"/>
          <w:sz w:val="24"/>
          <w:highlight w:val="none"/>
          <w:u w:val="single"/>
          <w14:textFill>
            <w14:solidFill>
              <w14:schemeClr w14:val="tx1"/>
            </w14:solidFill>
          </w14:textFill>
        </w:rPr>
        <w:t xml:space="preserve">按验收要求</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（1）单机无负荷试车费用由</w:t>
      </w:r>
      <w:r>
        <w:rPr>
          <w:rFonts w:hint="eastAsia" w:ascii="宋体" w:hAnsi="宋体" w:cs="宋体"/>
          <w:bCs/>
          <w:color w:val="000000" w:themeColor="text1"/>
          <w:sz w:val="24"/>
          <w:highlight w:val="none"/>
          <w:u w:val="single"/>
          <w14:textFill>
            <w14:solidFill>
              <w14:schemeClr w14:val="tx1"/>
            </w14:solidFill>
          </w14:textFill>
        </w:rPr>
        <w:t xml:space="preserve">承包人</w:t>
      </w:r>
      <w:r>
        <w:rPr>
          <w:rFonts w:hint="eastAsia" w:ascii="宋体" w:hAnsi="宋体" w:cs="宋体"/>
          <w:color w:val="000000" w:themeColor="text1"/>
          <w:sz w:val="24"/>
          <w:highlight w:val="none"/>
          <w14:textFill>
            <w14:solidFill>
              <w14:schemeClr w14:val="tx1"/>
            </w14:solidFill>
          </w14:textFill>
        </w:rPr>
        <w:t xml:space="preserve">承担；</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（2）无负荷联动试车费用由</w:t>
      </w:r>
      <w:r>
        <w:rPr>
          <w:rFonts w:hint="eastAsia" w:ascii="宋体" w:hAnsi="宋体" w:cs="宋体"/>
          <w:bCs/>
          <w:color w:val="000000" w:themeColor="text1"/>
          <w:sz w:val="24"/>
          <w:highlight w:val="none"/>
          <w:u w:val="single"/>
          <w14:textFill>
            <w14:solidFill>
              <w14:schemeClr w14:val="tx1"/>
            </w14:solidFill>
          </w14:textFill>
        </w:rPr>
        <w:t xml:space="preserve">承包人</w:t>
      </w:r>
      <w:r>
        <w:rPr>
          <w:rFonts w:hint="eastAsia" w:ascii="宋体" w:hAnsi="宋体" w:cs="宋体"/>
          <w:color w:val="000000" w:themeColor="text1"/>
          <w:sz w:val="24"/>
          <w:highlight w:val="none"/>
          <w14:textFill>
            <w14:solidFill>
              <w14:schemeClr w14:val="tx1"/>
            </w14:solidFill>
          </w14:textFill>
        </w:rPr>
        <w:t xml:space="preserve">承担。</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13.3.2 投料试车</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关于投料试车相关事项的约定：</w:t>
      </w:r>
      <w:r>
        <w:rPr>
          <w:rFonts w:hint="eastAsia" w:ascii="宋体" w:hAnsi="宋体" w:cs="宋体"/>
          <w:bCs/>
          <w:color w:val="000000" w:themeColor="text1"/>
          <w:sz w:val="24"/>
          <w:highlight w:val="none"/>
          <w:u w:val="single"/>
          <w14:textFill>
            <w14:solidFill>
              <w14:schemeClr w14:val="tx1"/>
            </w14:solidFill>
          </w14:textFill>
        </w:rPr>
        <w:t xml:space="preserve">另行协商</w:t>
      </w: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13.4 竣工退场</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13.4.1 竣工退场</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承包人完成竣工退场的期限：</w:t>
      </w:r>
      <w:r>
        <w:rPr>
          <w:rFonts w:hint="eastAsia" w:ascii="宋体" w:hAnsi="宋体" w:cs="宋体"/>
          <w:bCs/>
          <w:color w:val="000000" w:themeColor="text1"/>
          <w:sz w:val="24"/>
          <w:highlight w:val="none"/>
          <w:u w:val="single"/>
          <w14:textFill>
            <w14:solidFill>
              <w14:schemeClr w14:val="tx1"/>
            </w14:solidFill>
          </w14:textFill>
        </w:rPr>
        <w:t xml:space="preserve">发包人颁发工程接收证书后30天内</w:t>
      </w:r>
      <w:r>
        <w:rPr>
          <w:rFonts w:hint="eastAsia" w:ascii="宋体" w:hAnsi="宋体" w:cs="宋体"/>
          <w:color w:val="000000" w:themeColor="text1"/>
          <w:sz w:val="24"/>
          <w:highlight w:val="none"/>
          <w14:textFill>
            <w14:solidFill>
              <w14:schemeClr w14:val="tx1"/>
            </w14:solidFill>
          </w14:textFill>
        </w:rPr>
        <w:t xml:space="preserve">。</w:t>
      </w:r>
      <w:r/>
    </w:p>
    <w:p>
      <w:pPr>
        <w:pStyle w:val="849"/>
        <w:ind w:firstLine="482"/>
        <w:spacing w:before="0" w:after="0" w:line="300" w:lineRule="auto"/>
        <w:rPr>
          <w:rFonts w:ascii="宋体" w:hAnsi="宋体" w:eastAsia="宋体" w:cs="宋体"/>
          <w:bCs w:val="0"/>
          <w:color w:val="000000" w:themeColor="text1"/>
          <w:sz w:val="24"/>
          <w:szCs w:val="24"/>
          <w:highlight w:val="none"/>
          <w:lang w:eastAsia="zh-CN"/>
          <w14:textFill>
            <w14:solidFill>
              <w14:schemeClr w14:val="tx1"/>
            </w14:solidFill>
          </w14:textFill>
        </w:rPr>
      </w:pPr>
      <w:r/>
      <w:bookmarkStart w:id="807" w:name="_Toc351203646"/>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14. 竣工结算</w:t>
      </w:r>
      <w:bookmarkEnd w:id="807"/>
      <w:r/>
      <w:r/>
    </w:p>
    <w:p>
      <w:pPr>
        <w:ind w:firstLine="482"/>
        <w:spacing w:line="30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14.1 竣工付款申请</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承包人提交竣工付款申请单的期限：</w:t>
      </w:r>
      <w:r>
        <w:rPr>
          <w:rFonts w:hint="eastAsia" w:ascii="宋体" w:hAnsi="宋体" w:cs="宋体"/>
          <w:bCs/>
          <w:color w:val="000000" w:themeColor="text1"/>
          <w:sz w:val="24"/>
          <w:highlight w:val="none"/>
          <w:u w:val="single"/>
          <w14:textFill>
            <w14:solidFill>
              <w14:schemeClr w14:val="tx1"/>
            </w14:solidFill>
          </w14:textFill>
        </w:rPr>
        <w:t xml:space="preserve">竣工验收合格且承包人向发包人移交工程后28天内</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竣工付款申请单应包括的内容：</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（1）竣工结算书原件、工程量计算书。</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（2）施工合同、中标通知书复印件。</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（3）招标文件、招标答疑文件、投标文件。</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（4）竣工图纸；</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（5）竣工资料原件（包括开竣工报告、分部分项工程验收记录以及材料检测等资料，经监理核查装订成册，拟报档案管存档的资料）；</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（6）设计变更、工程签证、图纸会审、会议纪要等结算资料；</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（7）电子文件（包括投标报价、竣工结算书、施工图纸等）；</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（8）甲供材料结算单、水电费结算单（如有）</w:t>
      </w: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14.2 竣工结算审核</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发包人审批竣工付款申请单的期限：</w:t>
      </w:r>
      <w:r>
        <w:rPr>
          <w:rFonts w:hint="eastAsia" w:ascii="宋体" w:hAnsi="宋体" w:cs="宋体"/>
          <w:bCs/>
          <w:color w:val="000000" w:themeColor="text1"/>
          <w:sz w:val="24"/>
          <w:highlight w:val="none"/>
          <w:u w:val="single"/>
          <w14:textFill>
            <w14:solidFill>
              <w14:schemeClr w14:val="tx1"/>
            </w14:solidFill>
          </w14:textFill>
        </w:rPr>
        <w:t xml:space="preserve">按通用条款执行</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发包人完成竣工付款的期限：</w:t>
      </w:r>
      <w:r>
        <w:rPr>
          <w:rFonts w:hint="eastAsia" w:ascii="宋体" w:hAnsi="宋体" w:cs="宋体"/>
          <w:bCs/>
          <w:color w:val="000000" w:themeColor="text1"/>
          <w:sz w:val="24"/>
          <w:highlight w:val="none"/>
          <w:u w:val="single"/>
          <w14:textFill>
            <w14:solidFill>
              <w14:schemeClr w14:val="tx1"/>
            </w14:solidFill>
          </w14:textFill>
        </w:rPr>
        <w:t xml:space="preserve">按通用条款执行</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关于竣工付款证书异议部分复核的方式和程序：</w:t>
      </w:r>
      <w:r>
        <w:rPr>
          <w:rFonts w:hint="eastAsia" w:ascii="宋体" w:hAnsi="宋体" w:cs="宋体"/>
          <w:bCs/>
          <w:color w:val="000000" w:themeColor="text1"/>
          <w:sz w:val="24"/>
          <w:highlight w:val="none"/>
          <w:u w:val="single"/>
          <w14:textFill>
            <w14:solidFill>
              <w14:schemeClr w14:val="tx1"/>
            </w14:solidFill>
          </w14:textFill>
        </w:rPr>
        <w:t xml:space="preserve">经发包人指定机构审核，若核减率超过4%（含4%）时，全额审计费由承包人支付；若核减率低于4%（不含4%）时，全额审计费由发包人支付；审计费按核减额的5%计取。核减率按跟踪审计最终核定额与施工单位送审额之间的差额除以施工单位送审额计算</w:t>
      </w: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14.3最终结清</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14.3.1 最终结清申请单</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承包人提交最终结清申请单的份数：</w:t>
      </w:r>
      <w:r>
        <w:rPr>
          <w:rFonts w:hint="eastAsia" w:ascii="宋体" w:hAnsi="宋体" w:cs="宋体"/>
          <w:bCs/>
          <w:color w:val="000000" w:themeColor="text1"/>
          <w:sz w:val="24"/>
          <w:highlight w:val="none"/>
          <w:u w:val="single"/>
          <w14:textFill>
            <w14:solidFill>
              <w14:schemeClr w14:val="tx1"/>
            </w14:solidFill>
          </w14:textFill>
        </w:rPr>
        <w:t xml:space="preserve">3份</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承包人提交最终结算申请单的期限：</w:t>
      </w:r>
      <w:r>
        <w:rPr>
          <w:rFonts w:hint="eastAsia" w:ascii="宋体" w:hAnsi="宋体" w:cs="宋体"/>
          <w:bCs/>
          <w:color w:val="000000" w:themeColor="text1"/>
          <w:sz w:val="24"/>
          <w:highlight w:val="none"/>
          <w:u w:val="single"/>
          <w14:textFill>
            <w14:solidFill>
              <w14:schemeClr w14:val="tx1"/>
            </w14:solidFill>
          </w14:textFill>
        </w:rPr>
        <w:t xml:space="preserve">按通用条款执行</w:t>
      </w:r>
      <w:r>
        <w:rPr>
          <w:rFonts w:hint="eastAsia" w:ascii="宋体" w:hAnsi="宋体" w:cs="宋体"/>
          <w:color w:val="000000" w:themeColor="text1"/>
          <w:sz w:val="24"/>
          <w:highlight w:val="none"/>
          <w14:textFill>
            <w14:solidFill>
              <w14:schemeClr w14:val="tx1"/>
            </w14:solidFill>
          </w14:textFill>
        </w:rPr>
        <w:t xml:space="preserve">。 </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14.4.2 最终结清证书和支付</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（1）发包人完成最终结清申请单的审批并颁发最终结清证书的期限：</w:t>
      </w:r>
      <w:r>
        <w:rPr>
          <w:rFonts w:hint="eastAsia" w:ascii="宋体" w:hAnsi="宋体" w:cs="宋体"/>
          <w:bCs/>
          <w:color w:val="000000" w:themeColor="text1"/>
          <w:sz w:val="24"/>
          <w:highlight w:val="none"/>
          <w:u w:val="single"/>
          <w14:textFill>
            <w14:solidFill>
              <w14:schemeClr w14:val="tx1"/>
            </w14:solidFill>
          </w14:textFill>
        </w:rPr>
        <w:t xml:space="preserve">按通用条款执行</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（2）发包人完成支付的期限：</w:t>
      </w:r>
      <w:r>
        <w:rPr>
          <w:rFonts w:hint="eastAsia" w:ascii="宋体" w:hAnsi="宋体" w:cs="宋体"/>
          <w:bCs/>
          <w:color w:val="000000" w:themeColor="text1"/>
          <w:sz w:val="24"/>
          <w:highlight w:val="none"/>
          <w:u w:val="single"/>
          <w14:textFill>
            <w14:solidFill>
              <w14:schemeClr w14:val="tx1"/>
            </w14:solidFill>
          </w14:textFill>
        </w:rPr>
        <w:t xml:space="preserve">按通用条款执行</w:t>
      </w:r>
      <w:r>
        <w:rPr>
          <w:rFonts w:hint="eastAsia" w:ascii="宋体" w:hAnsi="宋体" w:cs="宋体"/>
          <w:color w:val="000000" w:themeColor="text1"/>
          <w:sz w:val="24"/>
          <w:highlight w:val="none"/>
          <w14:textFill>
            <w14:solidFill>
              <w14:schemeClr w14:val="tx1"/>
            </w14:solidFill>
          </w14:textFill>
        </w:rPr>
        <w:t xml:space="preserve">。</w:t>
      </w:r>
      <w:bookmarkEnd w:id="792"/>
      <w:bookmarkEnd w:id="793"/>
      <w:bookmarkEnd w:id="794"/>
      <w:bookmarkEnd w:id="795"/>
      <w:bookmarkEnd w:id="796"/>
      <w:bookmarkEnd w:id="797"/>
      <w:bookmarkEnd w:id="798"/>
      <w:bookmarkEnd w:id="804"/>
      <w:r/>
    </w:p>
    <w:p>
      <w:pPr>
        <w:pStyle w:val="849"/>
        <w:ind w:firstLine="482"/>
        <w:spacing w:before="0" w:after="0" w:line="300" w:lineRule="auto"/>
        <w:rPr>
          <w:rFonts w:ascii="宋体" w:hAnsi="宋体" w:eastAsia="宋体" w:cs="宋体"/>
          <w:bCs w:val="0"/>
          <w:color w:val="000000" w:themeColor="text1"/>
          <w:sz w:val="24"/>
          <w:szCs w:val="24"/>
          <w:highlight w:val="none"/>
          <w:lang w:eastAsia="zh-CN"/>
          <w14:textFill>
            <w14:solidFill>
              <w14:schemeClr w14:val="tx1"/>
            </w14:solidFill>
          </w14:textFill>
        </w:rPr>
      </w:pPr>
      <w:r/>
      <w:bookmarkStart w:id="808" w:name="_Toc351203647"/>
      <w:r/>
      <w:bookmarkStart w:id="809" w:name="_Toc267251483"/>
      <w:r/>
      <w:bookmarkStart w:id="810" w:name="_Toc267251484"/>
      <w:r/>
      <w:bookmarkStart w:id="811" w:name="_Toc267251482"/>
      <w:r/>
      <w:bookmarkStart w:id="812" w:name="_Toc267251485"/>
      <w:r/>
      <w:bookmarkStart w:id="813" w:name="_Toc267251486"/>
      <w:r/>
      <w:bookmarkStart w:id="814" w:name="_Toc267251489"/>
      <w:r/>
      <w:bookmarkStart w:id="815" w:name="_Toc267251490"/>
      <w:r/>
      <w:bookmarkStart w:id="816" w:name="_Toc267251488"/>
      <w:r/>
      <w:bookmarkStart w:id="817" w:name="_Toc267251492"/>
      <w:r/>
      <w:bookmarkStart w:id="818" w:name="_Toc267251502"/>
      <w:r/>
      <w:bookmarkStart w:id="819" w:name="_Toc267251498"/>
      <w:r/>
      <w:bookmarkStart w:id="820" w:name="_Toc267251495"/>
      <w:r/>
      <w:bookmarkStart w:id="821" w:name="_Toc267251493"/>
      <w:r/>
      <w:bookmarkStart w:id="822" w:name="_Toc267251491"/>
      <w:r/>
      <w:bookmarkStart w:id="823" w:name="_Toc267251501"/>
      <w:r/>
      <w:bookmarkStart w:id="824" w:name="_Toc267251499"/>
      <w:r/>
      <w:bookmarkStart w:id="825" w:name="_Toc267251497"/>
      <w:r/>
      <w:bookmarkStart w:id="826" w:name="_Toc267251496"/>
      <w:r/>
      <w:bookmarkStart w:id="827" w:name="_Toc267251494"/>
      <w:r/>
      <w:bookmarkStart w:id="828" w:name="_Toc267251503"/>
      <w:r/>
      <w:bookmarkStart w:id="829" w:name="_Toc267251506"/>
      <w:r/>
      <w:bookmarkStart w:id="830" w:name="_Toc267251504"/>
      <w:r/>
      <w:bookmarkStart w:id="831" w:name="_Toc267251507"/>
      <w:r/>
      <w:bookmarkStart w:id="832" w:name="_Toc267251508"/>
      <w:r/>
      <w:bookmarkStart w:id="833" w:name="_Toc267251509"/>
      <w:r/>
      <w:bookmarkStart w:id="834" w:name="_Toc267251515"/>
      <w:r/>
      <w:bookmarkStart w:id="835" w:name="_Toc267251510"/>
      <w:r/>
      <w:bookmarkStart w:id="836" w:name="_Toc267251513"/>
      <w:r/>
      <w:bookmarkStart w:id="837" w:name="_Toc267251511"/>
      <w:r/>
      <w:bookmarkStart w:id="838" w:name="_Toc267251514"/>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15. 缺陷责任期与保修</w:t>
      </w:r>
      <w:bookmarkEnd w:id="808"/>
      <w:r/>
      <w:r/>
    </w:p>
    <w:p>
      <w:pPr>
        <w:ind w:firstLine="482"/>
        <w:spacing w:line="30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15.1缺陷责任期</w:t>
      </w:r>
      <w:bookmarkEnd w:id="809"/>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缺陷责任期的具体期限：</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15.2 质量保证金</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关于是否扣留质量保证金的约定：</w:t>
      </w:r>
      <w:r>
        <w:rPr>
          <w:rFonts w:hint="eastAsia" w:ascii="宋体" w:hAnsi="宋体" w:cs="宋体"/>
          <w:bCs/>
          <w:color w:val="000000" w:themeColor="text1"/>
          <w:sz w:val="24"/>
          <w:highlight w:val="none"/>
          <w:u w:val="single"/>
          <w14:textFill>
            <w14:solidFill>
              <w14:schemeClr w14:val="tx1"/>
            </w14:solidFill>
          </w14:textFill>
        </w:rPr>
        <w:t xml:space="preserve">否</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在工程项目竣工前，承包人按专用合同条款第3.7条提供履约担保的，发包人不得同时预留工程质量保证金。</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15.2.1 承包人提供质量保证金的方式</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质量保证金采用以下第</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种方式：</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（1）质量保证金保函，保证金额为：</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 </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%的工程款；</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（3）其他方式:</w:t>
      </w:r>
      <w:r>
        <w:rPr>
          <w:rFonts w:hint="eastAsia" w:ascii="宋体" w:hAnsi="宋体" w:cs="宋体"/>
          <w:bCs/>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15.2.2 质量保证金的扣留 </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质量保证金的扣留采取以下第</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种方式：</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（1）在支付工程进度款时逐次扣留，在此情形下，质量保证金的计算基数不包括预付款的支付、扣回以及价格调整的金额；</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（2）工程竣工结算时一次性扣留质量保证金；</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（3）其他扣留方式:</w:t>
      </w:r>
      <w:r>
        <w:rPr>
          <w:rFonts w:hint="eastAsia" w:ascii="宋体" w:hAnsi="宋体" w:cs="宋体"/>
          <w:color w:val="000000" w:themeColor="text1"/>
          <w:sz w:val="24"/>
          <w:highlight w:val="none"/>
          <w:u w:val="single"/>
          <w14:textFill>
            <w14:solidFill>
              <w14:schemeClr w14:val="tx1"/>
            </w14:solidFill>
          </w14:textFill>
        </w:rPr>
        <w:t xml:space="preserve"> 审计结束，承包人先向学院支付审定金额的3%工程质保金（以转账形式支付至学院指定账户）</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关于质量保证金的补充约定：:</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bookmarkEnd w:id="810"/>
      <w:bookmarkEnd w:id="811"/>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15.4保修</w:t>
      </w:r>
      <w:bookmarkEnd w:id="812"/>
      <w:r/>
    </w:p>
    <w:p>
      <w:pPr>
        <w:ind w:firstLine="482"/>
        <w:jc w:val="left"/>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15.4.1 保修责任</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工程保修期为：</w:t>
      </w:r>
      <w:r>
        <w:rPr>
          <w:rFonts w:hint="eastAsia" w:ascii="宋体" w:hAnsi="宋体" w:cs="宋体"/>
          <w:bCs/>
          <w:color w:val="000000" w:themeColor="text1"/>
          <w:sz w:val="24"/>
          <w:highlight w:val="none"/>
          <w:u w:val="single"/>
          <w14:textFill>
            <w14:solidFill>
              <w14:schemeClr w14:val="tx1"/>
            </w14:solidFill>
          </w14:textFill>
        </w:rPr>
        <w:t xml:space="preserve">按附件《工程质量保修书》约定执行</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15.4.2修复通知</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承包人收到保修通知并到达工程现场的合理时间：</w:t>
      </w:r>
      <w:r>
        <w:rPr>
          <w:rFonts w:hint="eastAsia" w:ascii="宋体" w:hAnsi="宋体" w:cs="宋体"/>
          <w:bCs/>
          <w:color w:val="000000" w:themeColor="text1"/>
          <w:sz w:val="24"/>
          <w:highlight w:val="none"/>
          <w:u w:val="single"/>
          <w14:textFill>
            <w14:solidFill>
              <w14:schemeClr w14:val="tx1"/>
            </w14:solidFill>
          </w14:textFill>
        </w:rPr>
        <w:t xml:space="preserve">24小时内</w:t>
      </w:r>
      <w:r>
        <w:rPr>
          <w:rFonts w:hint="eastAsia" w:ascii="宋体" w:hAnsi="宋体" w:cs="宋体"/>
          <w:color w:val="000000" w:themeColor="text1"/>
          <w:sz w:val="24"/>
          <w:highlight w:val="none"/>
          <w14:textFill>
            <w14:solidFill>
              <w14:schemeClr w14:val="tx1"/>
            </w14:solidFill>
          </w14:textFill>
        </w:rPr>
        <w:t xml:space="preserve">。</w:t>
      </w:r>
      <w:bookmarkEnd w:id="813"/>
      <w:bookmarkEnd w:id="814"/>
      <w:bookmarkEnd w:id="815"/>
      <w:bookmarkEnd w:id="816"/>
      <w:r/>
    </w:p>
    <w:p>
      <w:pPr>
        <w:pStyle w:val="849"/>
        <w:ind w:firstLine="482"/>
        <w:spacing w:before="0" w:after="0" w:line="300" w:lineRule="auto"/>
        <w:rPr>
          <w:rFonts w:ascii="宋体" w:hAnsi="宋体" w:eastAsia="宋体" w:cs="宋体"/>
          <w:bCs w:val="0"/>
          <w:color w:val="000000" w:themeColor="text1"/>
          <w:sz w:val="24"/>
          <w:szCs w:val="24"/>
          <w:highlight w:val="none"/>
          <w:lang w:eastAsia="zh-CN"/>
          <w14:textFill>
            <w14:solidFill>
              <w14:schemeClr w14:val="tx1"/>
            </w14:solidFill>
          </w14:textFill>
        </w:rPr>
      </w:pPr>
      <w:r/>
      <w:bookmarkStart w:id="839" w:name="_Toc351203648"/>
      <w:r/>
      <w:bookmarkStart w:id="840" w:name="_Toc280868717"/>
      <w:r/>
      <w:bookmarkStart w:id="841" w:name="_Toc280868718"/>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16. 违约</w:t>
      </w:r>
      <w:bookmarkEnd w:id="839"/>
      <w:r/>
      <w:r/>
    </w:p>
    <w:p>
      <w:pPr>
        <w:ind w:firstLine="482"/>
        <w:spacing w:line="30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16.1 发包人违约</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16.1.1发包人违约的情形</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发包人违约的其他情形：</w:t>
      </w:r>
      <w:r>
        <w:rPr>
          <w:rFonts w:hint="eastAsia" w:ascii="宋体" w:hAnsi="宋体" w:cs="宋体"/>
          <w:bCs/>
          <w:color w:val="000000" w:themeColor="text1"/>
          <w:sz w:val="24"/>
          <w:highlight w:val="none"/>
          <w:u w:val="single"/>
          <w14:textFill>
            <w14:solidFill>
              <w14:schemeClr w14:val="tx1"/>
            </w14:solidFill>
          </w14:textFill>
        </w:rPr>
        <w:t xml:space="preserve">按通用条款执行</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16.1.2 发包人违约的责任</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发包人违约责任的承担方式和计算方法：</w:t>
      </w:r>
      <w:r/>
    </w:p>
    <w:p>
      <w:pPr>
        <w:ind w:firstLine="480"/>
        <w:jc w:val="left"/>
        <w:spacing w:line="30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（1）因发包人原因未能在计划开工日期前7天内下达开工通知的违约责任：</w:t>
      </w:r>
      <w:r>
        <w:rPr>
          <w:rFonts w:hint="eastAsia" w:ascii="宋体" w:hAnsi="宋体" w:cs="宋体"/>
          <w:bCs/>
          <w:color w:val="000000" w:themeColor="text1"/>
          <w:sz w:val="24"/>
          <w:highlight w:val="none"/>
          <w:u w:val="single"/>
          <w14:textFill>
            <w14:solidFill>
              <w14:schemeClr w14:val="tx1"/>
            </w14:solidFill>
          </w14:textFill>
        </w:rPr>
        <w:t xml:space="preserve">顺延工期，费用不索赔</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（2）因发包人原因未能按合同约定支付合同价款的违约责任：</w:t>
      </w:r>
      <w:r>
        <w:rPr>
          <w:rFonts w:hint="eastAsia" w:ascii="宋体" w:hAnsi="宋体" w:cs="宋体"/>
          <w:bCs/>
          <w:color w:val="000000" w:themeColor="text1"/>
          <w:sz w:val="24"/>
          <w:highlight w:val="none"/>
          <w:u w:val="single"/>
          <w14:textFill>
            <w14:solidFill>
              <w14:schemeClr w14:val="tx1"/>
            </w14:solidFill>
          </w14:textFill>
        </w:rPr>
        <w:t xml:space="preserve">按通用条款执行</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（3）发包人违反通用合同条款第10.1款〔变更的范围〕第（2）项约定，自行实施被取消的工作或转由他人实施的违约责任：</w:t>
      </w:r>
      <w:r>
        <w:rPr>
          <w:rFonts w:hint="eastAsia" w:ascii="宋体" w:hAnsi="宋体" w:cs="宋体"/>
          <w:bCs/>
          <w:color w:val="000000" w:themeColor="text1"/>
          <w:sz w:val="24"/>
          <w:highlight w:val="none"/>
          <w:u w:val="single"/>
          <w14:textFill>
            <w14:solidFill>
              <w14:schemeClr w14:val="tx1"/>
            </w14:solidFill>
          </w14:textFill>
        </w:rPr>
        <w:t xml:space="preserve">按通用条款执行</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ascii="宋体" w:hAnsi="宋体" w:cs="宋体"/>
          <w:bCs/>
          <w:color w:val="000000" w:themeColor="text1"/>
          <w:sz w:val="24"/>
          <w:highlight w:val="none"/>
          <w:u w:val="single"/>
          <w14:textFill>
            <w14:solidFill>
              <w14:schemeClr w14:val="tx1"/>
            </w14:solidFill>
          </w14:textFill>
        </w:rPr>
        <w:t xml:space="preserve">顺延工期，费用不索赔</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（5）因发包人违反合同约定造成暂停施工的违约责任：</w:t>
      </w:r>
      <w:r>
        <w:rPr>
          <w:rFonts w:hint="eastAsia" w:ascii="宋体" w:hAnsi="宋体" w:cs="宋体"/>
          <w:bCs/>
          <w:color w:val="000000" w:themeColor="text1"/>
          <w:sz w:val="24"/>
          <w:highlight w:val="none"/>
          <w:u w:val="single"/>
          <w14:textFill>
            <w14:solidFill>
              <w14:schemeClr w14:val="tx1"/>
            </w14:solidFill>
          </w14:textFill>
        </w:rPr>
        <w:t xml:space="preserve">顺延工期，费用不索赔</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（6）发包人无正当理由没有在约定期限内发出复工指示，导致承包人无法复工的违约责任：</w:t>
      </w:r>
      <w:r>
        <w:rPr>
          <w:rFonts w:hint="eastAsia" w:ascii="宋体" w:hAnsi="宋体" w:cs="宋体"/>
          <w:bCs/>
          <w:color w:val="000000" w:themeColor="text1"/>
          <w:sz w:val="24"/>
          <w:highlight w:val="none"/>
          <w:u w:val="single"/>
          <w14:textFill>
            <w14:solidFill>
              <w14:schemeClr w14:val="tx1"/>
            </w14:solidFill>
          </w14:textFill>
        </w:rPr>
        <w:t xml:space="preserve">顺延工期，费用不索赔</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（7）其他：</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16.1.3 因发包人违约解除合同</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承包人按16.1.1项〔发包人违约的情形〕约定暂停施工满</w:t>
      </w:r>
      <w:r>
        <w:rPr>
          <w:rFonts w:hint="eastAsia" w:ascii="宋体" w:hAnsi="宋体" w:cs="宋体"/>
          <w:bCs/>
          <w:color w:val="000000" w:themeColor="text1"/>
          <w:sz w:val="24"/>
          <w:highlight w:val="none"/>
          <w:u w:val="single"/>
          <w14:textFill>
            <w14:solidFill>
              <w14:schemeClr w14:val="tx1"/>
            </w14:solidFill>
          </w14:textFill>
        </w:rPr>
        <w:t xml:space="preserve">56</w:t>
      </w:r>
      <w:r>
        <w:rPr>
          <w:rFonts w:hint="eastAsia" w:ascii="宋体" w:hAnsi="宋体" w:cs="宋体"/>
          <w:color w:val="000000" w:themeColor="text1"/>
          <w:sz w:val="24"/>
          <w:highlight w:val="none"/>
          <w14:textFill>
            <w14:solidFill>
              <w14:schemeClr w14:val="tx1"/>
            </w14:solidFill>
          </w14:textFill>
        </w:rPr>
        <w:t xml:space="preserve">天后发包人仍不纠正其违约行为并致使合同目的不能实现的，承包人有权解除合同。</w:t>
      </w:r>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16.2 承包人违约</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16.2.1 承包人违约的情形</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承包人违约的其他情形：</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（1）、若发现承包人有违反施工图纸及相应技术规范或偷工减料的行为，发包人有权对承包人处以每次1万元以下的罚款，承包人需无条件返工至设计图纸及相关现行规范要求； </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2）、合同工期按承包人投标文件中的自报工期，如承包人原因延误工期，承包人应承担违约责任并向发包人支付赔偿费，赔偿费支付办法按本项目专用合同条款7.5执行，支付赔偿费不能解除承包人应完成本工程的责任以及合同规定的其他相关责任；</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（3）、若工程首次竣工验收未通过，承包人必须按照发包人要求及相关规范、标准整改到位并承担合同总价的0.1%的罚款，从工程竣工结算款中直接扣除</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16.2.2承包人违约的责任</w:t>
      </w:r>
      <w:r/>
    </w:p>
    <w:p>
      <w:pPr>
        <w:ind w:firstLine="480"/>
        <w:jc w:val="left"/>
        <w:spacing w:line="30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承包人违约责任的承担方式和计算方法：</w:t>
      </w:r>
      <w:r>
        <w:rPr>
          <w:rFonts w:hint="eastAsia" w:ascii="宋体" w:hAnsi="宋体" w:cs="宋体"/>
          <w:bCs/>
          <w:color w:val="000000" w:themeColor="text1"/>
          <w:sz w:val="24"/>
          <w:highlight w:val="none"/>
          <w:u w:val="single"/>
          <w14:textFill>
            <w14:solidFill>
              <w14:schemeClr w14:val="tx1"/>
            </w14:solidFill>
          </w14:textFill>
        </w:rPr>
        <w:t xml:space="preserve">承包人承担因其违约行为给发包人造成的实际损失和延误的工期</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16.2.3 因承包人违约解除合同</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关于承包人违约解除合同的特别约定：</w:t>
      </w:r>
      <w:r>
        <w:rPr>
          <w:rFonts w:hint="eastAsia" w:ascii="宋体" w:hAnsi="宋体" w:cs="宋体"/>
          <w:bCs/>
          <w:color w:val="000000" w:themeColor="text1"/>
          <w:sz w:val="24"/>
          <w:highlight w:val="none"/>
          <w:u w:val="single"/>
          <w14:textFill>
            <w14:solidFill>
              <w14:schemeClr w14:val="tx1"/>
            </w14:solidFill>
          </w14:textFill>
        </w:rPr>
        <w:t xml:space="preserve">按通用条款执行</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hint="eastAsia" w:ascii="宋体" w:hAnsi="宋体" w:cs="宋体"/>
          <w:bCs/>
          <w:color w:val="000000" w:themeColor="text1"/>
          <w:sz w:val="24"/>
          <w:highlight w:val="none"/>
          <w:u w:val="single"/>
          <w14:textFill>
            <w14:solidFill>
              <w14:schemeClr w14:val="tx1"/>
            </w14:solidFill>
          </w14:textFill>
        </w:rPr>
        <w:t xml:space="preserve">按通用条款执行</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16.2.4由于发包人原因导致延期开工或中途停工，发包人应补偿承包人因停工、窝工所造成的损失，每停工一天，发包人支付承包人500元。发包人不按合同的约定拨付款，每拖期一天，按付款的 0.02 %支付滞纳金。若发包人因不可抗力导致延期开工或中途停工，只需提前3日告知承包人，发包人不承担任何责任。</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16.2.5本项目时间紧，承包人应严格按照工期要求完成项目建设并做好相应资金准备。由于承包人原因，</w:t>
      </w:r>
      <w:bookmarkStart w:id="842" w:name="OLE_LINK16"/>
      <w:r>
        <w:rPr>
          <w:rFonts w:hint="eastAsia" w:ascii="宋体" w:hAnsi="宋体" w:cs="宋体"/>
          <w:color w:val="000000" w:themeColor="text1"/>
          <w:sz w:val="24"/>
          <w:highlight w:val="none"/>
          <w14:textFill>
            <w14:solidFill>
              <w14:schemeClr w14:val="tx1"/>
            </w14:solidFill>
          </w14:textFill>
        </w:rPr>
        <w:t xml:space="preserve">逾期竣工，每逾期一天，承包人支付发包人5000元违约金</w:t>
      </w:r>
      <w:bookmarkEnd w:id="842"/>
      <w:r>
        <w:rPr>
          <w:rFonts w:hint="eastAsia" w:ascii="宋体" w:hAnsi="宋体" w:cs="宋体"/>
          <w:color w:val="000000" w:themeColor="text1"/>
          <w:sz w:val="24"/>
          <w:highlight w:val="none"/>
          <w14:textFill>
            <w14:solidFill>
              <w14:schemeClr w14:val="tx1"/>
            </w14:solidFill>
          </w14:textFill>
        </w:rPr>
        <w:t xml:space="preserve">，逾期竣工超过15天的发包人有权终止合同。且视为承包人违约。</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16.2.6 </w:t>
      </w:r>
      <w:bookmarkStart w:id="843" w:name="OLE_LINK17"/>
      <w:r>
        <w:rPr>
          <w:rFonts w:hint="eastAsia" w:ascii="宋体" w:hAnsi="宋体" w:cs="宋体"/>
          <w:color w:val="000000" w:themeColor="text1"/>
          <w:sz w:val="24"/>
          <w:highlight w:val="none"/>
          <w14:textFill>
            <w14:solidFill>
              <w14:schemeClr w14:val="tx1"/>
            </w14:solidFill>
          </w14:textFill>
        </w:rPr>
        <w:t xml:space="preserve">未经发包人同意承包人不得更换项目经理及项目管理班子人员，否则每更换项目经理一次，发包人将从工程款中扣除违约金5000元；项目管理班子其它人员每更换一次，或项目经理月到位率不足80%的，发包人将从工程款中扣除违约金2000元；项目班子管理人员（除项目经理外）月到位率达不到90%的，每人次扣除违约金1000元。</w:t>
      </w:r>
      <w:bookmarkEnd w:id="843"/>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16.2.7 承包人应妥善保护发包人提供的设备及工程成品，如造成损失，应照价赔偿。</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16.2.8 发包人未办理任何手续，擅自同意拆改原有建筑物或设备管线，由此发生的损失或事故（包括罚款），由发包人负责并承担损失。</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16.2.9 未经发包人签字同意，承包人擅自拆改原建筑物结构或设备管线，由此发生的损失或事故（包括罚款），由承包人负责并承担损失。</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16.2.10 未办理验收手续，发包人提前使用或擅自动用造成损失由发包人负责。</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16.2.11因一方原因，合同无法继续履行时，应通知对方，办理合同终止协议，并由责任方赔偿对方由此造成的经济损失。若发包人因政策等不可控原因，导致合同不能继续履行，发包人不承担责任。</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16.2.12双方应严格履约，如违约，由违约方承付本合同标的总价5﹪的违约金给受损方，并赔偿受损方由此造成的一切经济损失。承包人违约造成发包人教学相关事故的，另承担5万元/次违约金。</w:t>
      </w:r>
      <w:r/>
    </w:p>
    <w:p>
      <w:pPr>
        <w:pStyle w:val="849"/>
        <w:ind w:firstLine="482"/>
        <w:spacing w:before="0" w:after="0" w:line="300" w:lineRule="auto"/>
        <w:rPr>
          <w:rFonts w:ascii="宋体" w:hAnsi="宋体" w:eastAsia="宋体" w:cs="宋体"/>
          <w:bCs w:val="0"/>
          <w:color w:val="000000" w:themeColor="text1"/>
          <w:sz w:val="24"/>
          <w:szCs w:val="24"/>
          <w:highlight w:val="none"/>
          <w:lang w:eastAsia="zh-CN"/>
          <w14:textFill>
            <w14:solidFill>
              <w14:schemeClr w14:val="tx1"/>
            </w14:solidFill>
          </w14:textFill>
        </w:rPr>
      </w:pPr>
      <w:r/>
      <w:bookmarkStart w:id="844" w:name="_Toc351203649"/>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17. 不可抗力</w:t>
      </w:r>
      <w:bookmarkEnd w:id="844"/>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 </w:t>
      </w:r>
      <w:bookmarkEnd w:id="840"/>
      <w:r/>
      <w:r/>
    </w:p>
    <w:p>
      <w:pPr>
        <w:ind w:firstLine="482"/>
        <w:spacing w:line="30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17.1 不可抗力的确认</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除通用合同条款约定的不可抗力事件之外，视为不可抗力的其他情形：</w:t>
      </w:r>
      <w:r>
        <w:rPr>
          <w:rFonts w:hint="eastAsia" w:ascii="宋体" w:hAnsi="宋体" w:cs="宋体"/>
          <w:bCs/>
          <w:color w:val="000000" w:themeColor="text1"/>
          <w:sz w:val="24"/>
          <w:highlight w:val="none"/>
          <w:u w:val="single"/>
          <w14:textFill>
            <w14:solidFill>
              <w14:schemeClr w14:val="tx1"/>
            </w14:solidFill>
          </w14:textFill>
        </w:rPr>
        <w:t xml:space="preserve">空中飞行物体坠落或其他非发包人、承包人责任造成的爆炸、火灾，以及当地气象部门认定的50年一遇风、雨、雪、洪水、地震等自然灾害</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17.2 因不可抗力解除合同</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不可抗力影响时间持续30日以上时，甲乙双方及时解除合同；合同解除后，发包人应在商定或确定发包人应支付款项后</w:t>
      </w:r>
      <w:r>
        <w:rPr>
          <w:rFonts w:hint="eastAsia" w:ascii="宋体" w:hAnsi="宋体" w:cs="宋体"/>
          <w:bCs/>
          <w:color w:val="000000" w:themeColor="text1"/>
          <w:sz w:val="24"/>
          <w:highlight w:val="none"/>
          <w:u w:val="single"/>
          <w14:textFill>
            <w14:solidFill>
              <w14:schemeClr w14:val="tx1"/>
            </w14:solidFill>
          </w14:textFill>
        </w:rPr>
        <w:t xml:space="preserve">28</w:t>
      </w:r>
      <w:r>
        <w:rPr>
          <w:rFonts w:hint="eastAsia" w:ascii="宋体" w:hAnsi="宋体" w:cs="宋体"/>
          <w:color w:val="000000" w:themeColor="text1"/>
          <w:sz w:val="24"/>
          <w:highlight w:val="none"/>
          <w14:textFill>
            <w14:solidFill>
              <w14:schemeClr w14:val="tx1"/>
            </w14:solidFill>
          </w14:textFill>
        </w:rPr>
        <w:t xml:space="preserve">天内完成款项的支付。</w:t>
      </w:r>
      <w:r/>
    </w:p>
    <w:p>
      <w:pPr>
        <w:pStyle w:val="849"/>
        <w:ind w:firstLine="482"/>
        <w:spacing w:before="0" w:after="0" w:line="300" w:lineRule="auto"/>
        <w:rPr>
          <w:rFonts w:ascii="宋体" w:hAnsi="宋体" w:eastAsia="宋体" w:cs="宋体"/>
          <w:bCs w:val="0"/>
          <w:color w:val="000000" w:themeColor="text1"/>
          <w:sz w:val="24"/>
          <w:szCs w:val="24"/>
          <w:highlight w:val="none"/>
          <w:lang w:eastAsia="zh-CN"/>
          <w14:textFill>
            <w14:solidFill>
              <w14:schemeClr w14:val="tx1"/>
            </w14:solidFill>
          </w14:textFill>
        </w:rPr>
      </w:pPr>
      <w:r/>
      <w:bookmarkStart w:id="845" w:name="_Toc351203650"/>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18. 保险</w:t>
      </w:r>
      <w:bookmarkEnd w:id="845"/>
      <w:r/>
      <w:bookmarkEnd w:id="841"/>
      <w:r/>
    </w:p>
    <w:p>
      <w:pPr>
        <w:ind w:firstLine="482"/>
        <w:spacing w:line="30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18.1 工程保险</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关于工程保险的特别约定：</w:t>
      </w:r>
      <w:r>
        <w:rPr>
          <w:rFonts w:hint="eastAsia" w:ascii="宋体" w:hAnsi="宋体" w:cs="宋体"/>
          <w:bCs/>
          <w:color w:val="000000" w:themeColor="text1"/>
          <w:sz w:val="24"/>
          <w:highlight w:val="none"/>
          <w:u w:val="single"/>
          <w14:textFill>
            <w14:solidFill>
              <w14:schemeClr w14:val="tx1"/>
            </w14:solidFill>
          </w14:textFill>
        </w:rPr>
        <w:t xml:space="preserve">由承包人办理工程一切险和第三者责任险，并承担相应保费</w:t>
      </w: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18.2其他保险</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关于其他保险的约定：</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（1）承包人须依法对其应投保的人身、财产（包括但不限于对本工程施工作业人员的生命财产和施工机械设备）办理保险，并支付保险费用。</w:t>
      </w:r>
      <w:r/>
    </w:p>
    <w:p>
      <w:pPr>
        <w:ind w:firstLine="480"/>
        <w:jc w:val="left"/>
        <w:spacing w:line="30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（3）承包人须对本工程进行期间发生的与本工程有关的人身伤亡及财产损坏负费用、损失、索偿或诉讼等法律责任，并保障发包人免负该等责任，除非有关伤亡是发包人所引致的</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承包人是否应为其施工设备等办理财产保险：</w:t>
      </w:r>
      <w:r>
        <w:rPr>
          <w:rFonts w:hint="eastAsia" w:ascii="宋体" w:hAnsi="宋体" w:cs="宋体"/>
          <w:bCs/>
          <w:color w:val="000000" w:themeColor="text1"/>
          <w:sz w:val="24"/>
          <w:highlight w:val="none"/>
          <w:u w:val="single"/>
          <w14:textFill>
            <w14:solidFill>
              <w14:schemeClr w14:val="tx1"/>
            </w14:solidFill>
          </w14:textFill>
        </w:rPr>
        <w:t xml:space="preserve">由承包人承担</w:t>
      </w: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18.3通知义务</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关于变更保险合同时的通知义务的约定：</w:t>
      </w:r>
      <w:r>
        <w:rPr>
          <w:rFonts w:hint="eastAsia" w:ascii="宋体" w:hAnsi="宋体" w:cs="宋体"/>
          <w:bCs/>
          <w:color w:val="000000" w:themeColor="text1"/>
          <w:sz w:val="24"/>
          <w:highlight w:val="none"/>
          <w:u w:val="single"/>
          <w14:textFill>
            <w14:solidFill>
              <w14:schemeClr w14:val="tx1"/>
            </w14:solidFill>
          </w14:textFill>
        </w:rPr>
        <w:t xml:space="preserve">按通用条款执行</w:t>
      </w:r>
      <w:r>
        <w:rPr>
          <w:rFonts w:hint="eastAsia" w:ascii="宋体" w:hAnsi="宋体" w:cs="宋体"/>
          <w:color w:val="000000" w:themeColor="text1"/>
          <w:sz w:val="24"/>
          <w:highlight w:val="none"/>
          <w14:textFill>
            <w14:solidFill>
              <w14:schemeClr w14:val="tx1"/>
            </w14:solidFill>
          </w14:textFill>
        </w:rPr>
        <w:t xml:space="preserve">。</w:t>
      </w:r>
      <w:bookmarkEnd w:id="817"/>
      <w:bookmarkEnd w:id="818"/>
      <w:bookmarkEnd w:id="819"/>
      <w:bookmarkEnd w:id="820"/>
      <w:bookmarkEnd w:id="821"/>
      <w:bookmarkEnd w:id="822"/>
      <w:bookmarkEnd w:id="823"/>
      <w:bookmarkEnd w:id="824"/>
      <w:bookmarkEnd w:id="825"/>
      <w:bookmarkEnd w:id="826"/>
      <w:bookmarkEnd w:id="827"/>
      <w:bookmarkEnd w:id="828"/>
      <w:r/>
    </w:p>
    <w:p>
      <w:pPr>
        <w:pStyle w:val="849"/>
        <w:ind w:firstLine="482"/>
        <w:spacing w:before="0" w:after="0" w:line="300" w:lineRule="auto"/>
        <w:rPr>
          <w:rFonts w:ascii="宋体" w:hAnsi="宋体" w:eastAsia="宋体" w:cs="宋体"/>
          <w:bCs w:val="0"/>
          <w:color w:val="000000" w:themeColor="text1"/>
          <w:sz w:val="24"/>
          <w:szCs w:val="24"/>
          <w:highlight w:val="none"/>
          <w:lang w:eastAsia="zh-CN"/>
          <w14:textFill>
            <w14:solidFill>
              <w14:schemeClr w14:val="tx1"/>
            </w14:solidFill>
          </w14:textFill>
        </w:rPr>
      </w:pPr>
      <w:r/>
      <w:bookmarkStart w:id="846" w:name="_Toc351203651"/>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19. 争议解决</w:t>
      </w:r>
      <w:bookmarkEnd w:id="846"/>
      <w:r/>
      <w:bookmarkEnd w:id="829"/>
      <w:bookmarkEnd w:id="830"/>
      <w:r/>
    </w:p>
    <w:p>
      <w:pPr>
        <w:ind w:firstLine="482"/>
        <w:spacing w:line="30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19.1 争</w:t>
      </w:r>
      <w:bookmarkEnd w:id="831"/>
      <w:r>
        <w:rPr>
          <w:rFonts w:hint="eastAsia" w:ascii="宋体" w:hAnsi="宋体" w:cs="宋体"/>
          <w:b/>
          <w:color w:val="000000" w:themeColor="text1"/>
          <w:sz w:val="24"/>
          <w:highlight w:val="none"/>
          <w14:textFill>
            <w14:solidFill>
              <w14:schemeClr w14:val="tx1"/>
            </w14:solidFill>
          </w14:textFill>
        </w:rPr>
        <w:t xml:space="preserve">议评审</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合同当事人是否同意将工程争议提交争议评审小组决定：</w:t>
      </w:r>
      <w:r>
        <w:rPr>
          <w:rFonts w:hint="eastAsia" w:ascii="宋体" w:hAnsi="宋体" w:cs="宋体"/>
          <w:bCs/>
          <w:color w:val="000000" w:themeColor="text1"/>
          <w:sz w:val="24"/>
          <w:highlight w:val="none"/>
          <w:u w:val="single"/>
          <w14:textFill>
            <w14:solidFill>
              <w14:schemeClr w14:val="tx1"/>
            </w14:solidFill>
          </w14:textFill>
        </w:rPr>
        <w:t xml:space="preserve">不采用</w:t>
      </w:r>
      <w:r>
        <w:rPr>
          <w:rFonts w:hint="eastAsia" w:ascii="宋体" w:hAnsi="宋体" w:cs="宋体"/>
          <w:color w:val="000000" w:themeColor="text1"/>
          <w:sz w:val="24"/>
          <w:highlight w:val="none"/>
          <w14:textFill>
            <w14:solidFill>
              <w14:schemeClr w14:val="tx1"/>
            </w14:solidFill>
          </w14:textFill>
        </w:rPr>
        <w:t xml:space="preserve">。  </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19.1.1 争议评审小组的确定</w:t>
      </w:r>
      <w:r/>
    </w:p>
    <w:p>
      <w:pPr>
        <w:ind w:firstLine="480"/>
        <w:jc w:val="left"/>
        <w:spacing w:line="30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争议评审小组成员的确定：</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选定争议评审员的期限：</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争议评审小组成员的报酬承担方式：</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其他事项的约定：</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19.1.2 争议评审小组的决定</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合同当事人关于本项的约定：</w:t>
      </w:r>
      <w:r>
        <w:rPr>
          <w:rFonts w:hint="eastAsia" w:ascii="宋体" w:hAnsi="宋体" w:cs="宋体"/>
          <w:bCs/>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19.1.3仲裁或诉讼</w:t>
      </w:r>
      <w:bookmarkEnd w:id="832"/>
      <w:r/>
      <w:r/>
    </w:p>
    <w:p>
      <w:pPr>
        <w:ind w:firstLine="48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因合同及合同有关事项发生的争议，按下列第</w:t>
      </w:r>
      <w:r>
        <w:rPr>
          <w:rFonts w:hint="eastAsia" w:ascii="宋体" w:hAnsi="宋体" w:cs="宋体"/>
          <w:bCs/>
          <w:color w:val="000000" w:themeColor="text1"/>
          <w:sz w:val="24"/>
          <w:highlight w:val="none"/>
          <w:u w:val="singl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种方式解决：</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（1）向</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仲裁委员会申请仲裁；</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（2）向</w:t>
      </w:r>
      <w:r>
        <w:rPr>
          <w:rFonts w:hint="eastAsia" w:ascii="宋体" w:hAnsi="宋体" w:cs="宋体"/>
          <w:bCs/>
          <w:color w:val="000000" w:themeColor="text1"/>
          <w:sz w:val="24"/>
          <w:highlight w:val="none"/>
          <w:u w:val="single"/>
          <w14:textFill>
            <w14:solidFill>
              <w14:schemeClr w14:val="tx1"/>
            </w14:solidFill>
          </w14:textFill>
        </w:rPr>
        <w:t xml:space="preserve">工程所在地有管辖权的</w:t>
      </w:r>
      <w:r>
        <w:rPr>
          <w:rFonts w:hint="eastAsia" w:ascii="宋体" w:hAnsi="宋体" w:cs="宋体"/>
          <w:color w:val="000000" w:themeColor="text1"/>
          <w:sz w:val="24"/>
          <w:highlight w:val="none"/>
          <w14:textFill>
            <w14:solidFill>
              <w14:schemeClr w14:val="tx1"/>
            </w14:solidFill>
          </w14:textFill>
        </w:rPr>
        <w:t xml:space="preserve">人民法院起诉。</w:t>
      </w:r>
      <w:bookmarkEnd w:id="833"/>
      <w:r/>
      <w:bookmarkEnd w:id="834"/>
      <w:r/>
      <w:bookmarkEnd w:id="835"/>
      <w:r/>
      <w:bookmarkEnd w:id="836"/>
      <w:r/>
      <w:bookmarkEnd w:id="837"/>
      <w:r/>
      <w:bookmarkEnd w:id="838"/>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19.1.4在执行本合同中所发生的或与本合同有关的一切争端，甲方和乙方应通过友好协商的办法进行解决。如协商仍不能解决，则通过由甲方所在地江苏省镇江市丹徒区人民法院诉讼。律师费、诉讼费、保全费等费用由违约方承担。</w:t>
      </w:r>
      <w:r/>
    </w:p>
    <w:p>
      <w:pPr>
        <w:ind w:firstLine="480"/>
        <w:jc w:val="left"/>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在诉讼期间，本合同应继续执行。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发包人(公章)：                          承包人(公章)：</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                                  地址：</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法定代表人(签字)：                      法定代表人(签字)：</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委托代理人(签字)：                      委托代理人(签字)：</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                                  电话：</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传真：                                  传真：</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                              开户银行：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账号：                                  账号：</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邮政编码：                              邮政编码：</w:t>
      </w:r>
      <w:r/>
    </w:p>
    <w:p>
      <w:pPr>
        <w:ind w:firstLine="480"/>
        <w:jc w:val="left"/>
        <w:spacing w:line="30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widowControl/>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jc w:val="left"/>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clear="all"/>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合同附件1：</w:t>
      </w:r>
      <w:r/>
    </w:p>
    <w:p>
      <w:pPr>
        <w:pStyle w:val="849"/>
        <w:ind w:firstLine="562"/>
        <w:jc w:val="center"/>
        <w:spacing w:before="28" w:after="0" w:line="400" w:lineRule="exact"/>
        <w:rPr>
          <w:rFonts w:ascii="宋体" w:hAnsi="宋体" w:eastAsia="宋体" w:cs="宋体"/>
          <w:bCs w:val="0"/>
          <w:color w:val="000000" w:themeColor="text1"/>
          <w:highlight w:val="none"/>
          <w:lang w:eastAsia="zh-CN"/>
          <w14:textFill>
            <w14:solidFill>
              <w14:schemeClr w14:val="tx1"/>
            </w14:solidFill>
          </w14:textFill>
        </w:rPr>
      </w:pPr>
      <w:r>
        <w:rPr>
          <w:rFonts w:hint="eastAsia" w:ascii="宋体" w:hAnsi="宋体" w:eastAsia="宋体" w:cs="宋体"/>
          <w:bCs w:val="0"/>
          <w:color w:val="000000" w:themeColor="text1"/>
          <w:highlight w:val="none"/>
          <w:lang w:eastAsia="zh-CN"/>
          <w14:textFill>
            <w14:solidFill>
              <w14:schemeClr w14:val="tx1"/>
            </w14:solidFill>
          </w14:textFill>
        </w:rPr>
        <w:t xml:space="preserve">工程质量保修书</w:t>
      </w:r>
      <w:r/>
    </w:p>
    <w:p>
      <w:pPr>
        <w:spacing w:line="42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82"/>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发包人（全称）：</w:t>
      </w:r>
      <w:r>
        <w:rPr>
          <w:rFonts w:hint="eastAsia" w:ascii="宋体" w:hAnsi="宋体" w:cs="宋体"/>
          <w:b/>
          <w:color w:val="000000" w:themeColor="text1"/>
          <w:sz w:val="24"/>
          <w:highlight w:val="none"/>
          <w:u w:val="single"/>
          <w14:textFill>
            <w14:solidFill>
              <w14:schemeClr w14:val="tx1"/>
            </w14:solidFill>
          </w14:textFill>
        </w:rPr>
        <w:t xml:space="preserve">                             </w:t>
      </w:r>
      <w:r>
        <w:rPr>
          <w:rStyle w:val="1166"/>
          <w:rFonts w:hint="eastAsia" w:ascii="宋体" w:hAnsi="宋体" w:cs="宋体"/>
          <w:color w:val="000000" w:themeColor="text1"/>
          <w:highlight w:val="none"/>
          <w14:textFill>
            <w14:solidFill>
              <w14:schemeClr w14:val="tx1"/>
            </w14:solidFill>
          </w14:textFill>
        </w:rPr>
        <w:t xml:space="preserve">   </w:t>
      </w:r>
      <w:r/>
    </w:p>
    <w:p>
      <w:pPr>
        <w:ind w:firstLine="482"/>
        <w:spacing w:line="360" w:lineRule="auto"/>
        <w:rPr>
          <w:rStyle w:val="1166"/>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承包人（全称）：</w:t>
      </w:r>
      <w:r>
        <w:rPr>
          <w:rStyle w:val="1166"/>
          <w:rFonts w:hint="eastAsia" w:ascii="宋体" w:hAnsi="宋体" w:cs="宋体"/>
          <w:color w:val="000000" w:themeColor="text1"/>
          <w:highlight w:val="none"/>
          <w14:textFill>
            <w14:solidFill>
              <w14:schemeClr w14:val="tx1"/>
            </w14:solidFill>
          </w14:textFill>
        </w:rPr>
        <w:t xml:space="preserve">                                </w:t>
      </w:r>
      <w:r/>
    </w:p>
    <w:p>
      <w:pPr>
        <w:ind w:firstLine="482"/>
        <w:spacing w:line="360" w:lineRule="auto"/>
        <w:rPr>
          <w:rFonts w:ascii="宋体" w:hAnsi="宋体" w:cs="宋体"/>
          <w:b/>
          <w:color w:val="000000" w:themeColor="text1"/>
          <w:sz w:val="24"/>
          <w:highlight w:val="none"/>
          <w:u w:val="single"/>
          <w14:textFill>
            <w14:solidFill>
              <w14:schemeClr w14:val="tx1"/>
            </w14:solidFill>
          </w14:textFill>
        </w:rPr>
      </w:pPr>
      <w:r>
        <w:rPr>
          <w:rFonts w:ascii="宋体" w:hAnsi="宋体" w:cs="宋体"/>
          <w:b/>
          <w:color w:val="000000" w:themeColor="text1"/>
          <w:sz w:val="24"/>
          <w:highlight w:val="none"/>
          <w:u w:val="singl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发包人和承包人根据《中华人民共和国建筑法》和《建设工程质量管理条例》，经协商一致就</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项目签订工程质量保修书。</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一、工程质量保修范围和内容</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承包人在质量保修期内，按照有关法律规定和合同约定，承担工程质量保修责任。</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themeColor="text1"/>
          <w:sz w:val="24"/>
          <w:highlight w:val="none"/>
          <w:u w:val="single"/>
          <w14:textFill>
            <w14:solidFill>
              <w14:schemeClr w14:val="tx1"/>
            </w14:solidFill>
          </w14:textFill>
        </w:rPr>
        <w:t xml:space="preserve">本合同约定承包范围内属于承包人责任而引起的质量保修，由承包人负责。</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二、质量保修期</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根据《建设工程质量管理条例》及有关规定，工程的质量保修期如下：</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1．地基基础工程和主体结构工程为设计文件规定的工程合理使用年限；</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2．屋面防水工程、有防水要求的卫生间、房间和外墙面的防渗为</w:t>
      </w:r>
      <w:r>
        <w:rPr>
          <w:rFonts w:hint="eastAsia" w:ascii="宋体" w:hAnsi="宋体" w:cs="宋体"/>
          <w:color w:val="000000" w:themeColor="text1"/>
          <w:sz w:val="24"/>
          <w:highlight w:val="none"/>
          <w:u w:val="single"/>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年；</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3．装修工程为</w:t>
      </w:r>
      <w:r>
        <w:rPr>
          <w:rFonts w:hint="eastAsia" w:ascii="宋体" w:hAnsi="宋体" w:cs="宋体"/>
          <w:color w:val="000000" w:themeColor="text1"/>
          <w:sz w:val="24"/>
          <w:highlight w:val="none"/>
          <w:u w:val="singl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年；</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4．电气管线、给排水管道、设备安装工程为</w:t>
      </w:r>
      <w:r>
        <w:rPr>
          <w:rFonts w:hint="eastAsia" w:ascii="宋体" w:hAnsi="宋体" w:cs="宋体"/>
          <w:color w:val="000000" w:themeColor="text1"/>
          <w:sz w:val="24"/>
          <w:highlight w:val="none"/>
          <w:u w:val="singl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年；</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5．供热与供冷系统为</w:t>
      </w:r>
      <w:r>
        <w:rPr>
          <w:rFonts w:hint="eastAsia" w:ascii="宋体" w:hAnsi="宋体" w:cs="宋体"/>
          <w:color w:val="000000" w:themeColor="text1"/>
          <w:sz w:val="24"/>
          <w:highlight w:val="none"/>
          <w:u w:val="singl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个采暖期、供冷期；</w:t>
      </w:r>
      <w:r/>
    </w:p>
    <w:p>
      <w:pPr>
        <w:ind w:firstLine="480"/>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6．其他项目保修期限约定如下：</w:t>
      </w:r>
      <w:r>
        <w:rPr>
          <w:rFonts w:hint="eastAsia" w:ascii="宋体" w:hAnsi="宋体" w:cs="宋体"/>
          <w:color w:val="000000" w:themeColor="text1"/>
          <w:sz w:val="24"/>
          <w:highlight w:val="none"/>
          <w:u w:val="single"/>
          <w14:textFill>
            <w14:solidFill>
              <w14:schemeClr w14:val="tx1"/>
            </w14:solidFill>
          </w14:textFill>
        </w:rPr>
        <w:t xml:space="preserve">由发、承包人共同约定</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质量保修期自工程竣工验收合格之日起计算。</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三、缺陷责任期</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工程缺陷责任期为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个月，缺陷责任期自工程通过竣工验收之日起计算。单位工程先于全部工程进行验收，单位工程缺陷责任期自单位工程验收合格之日起算。</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缺陷责任期终止后，发包人应退还剩余的质量保证金。</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四、质量保修责任</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1．属于保修范围、内容的项目，承包人应当在接到保修通知之日起7天内派人保修。承包人不在约定期限内派人保修的，发包人可以委托他人修理。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2．发生紧急事故需抢修的，承包人在接到事故通知后，应当立即到达事故现场抢修。</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4．质量保修完成后，由发包人组织验收。</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五、保修费用</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保修费用由造成质量缺陷的责任方承担。</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六、双方约定的其他工程质量保修事项：付清质保金并不意味着承包人应该承担的保修义务结束。</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工程质量保修书由发包人、承包人在工程竣工验收前共同签署，作为施工合同附件，其有效期限至保修期满。</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发包人(公章)：                          承包人(公章)：</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                                  地址：</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法定代表人(签字)：                      法定代表人(签字)：</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委托代理人(签字)：                      委托代理人(签字)：</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                                  电话：</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传真：                                  传真：</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                              开户银行：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账号：                                  账号：</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邮政编码：                              邮政编码：</w:t>
      </w:r>
      <w:r/>
    </w:p>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合同附件2：</w:t>
      </w:r>
      <w:r/>
    </w:p>
    <w:p>
      <w:pPr>
        <w:pStyle w:val="849"/>
        <w:ind w:firstLine="562"/>
        <w:jc w:val="center"/>
        <w:spacing w:before="28" w:after="0" w:line="400" w:lineRule="exact"/>
        <w:rPr>
          <w:rFonts w:ascii="宋体" w:hAnsi="宋体" w:eastAsia="宋体" w:cs="宋体"/>
          <w:bCs w:val="0"/>
          <w:color w:val="000000" w:themeColor="text1"/>
          <w:highlight w:val="none"/>
          <w:lang w:eastAsia="zh-CN"/>
          <w14:textFill>
            <w14:solidFill>
              <w14:schemeClr w14:val="tx1"/>
            </w14:solidFill>
          </w14:textFill>
        </w:rPr>
      </w:pPr>
      <w:r>
        <w:rPr>
          <w:rFonts w:hint="eastAsia" w:ascii="宋体" w:hAnsi="宋体" w:eastAsia="宋体" w:cs="宋体"/>
          <w:bCs w:val="0"/>
          <w:color w:val="000000" w:themeColor="text1"/>
          <w:highlight w:val="none"/>
          <w:lang w:eastAsia="zh-CN"/>
          <w14:textFill>
            <w14:solidFill>
              <w14:schemeClr w14:val="tx1"/>
            </w14:solidFill>
          </w14:textFill>
        </w:rPr>
        <w:t xml:space="preserve">建设工程安全生产责任书</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为认真贯彻“安全第一、预防为主”的方针，做到施工安全管理工作的标准化与规范化，确保</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建设项目安全、优质、按期完成，同时为进一步明确安全职责，提高建设工程安全管理的整体水平，杜绝重大伤亡事故的发生，保证国家与人民的财产与人身安全。根据《中华人民共和国建筑法》、《江苏省建筑工程管理条例》、《镇江市施工现场管理规定》等有关国家法令法规，订立如下安全生产责任书：</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承包人对施工现场安全生产负有主要责任。承包人应当建立健全各级安全生产责任制和群防群治制度，实行各级安全生产目标管理，推行施工现场标准化管理。承包人法人为安全生产第一责任人，对本企业的安全生产负责。</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2、施工现场必须建立健全安全生产责任制，工程项目经理为施工现场安全管理第一责任人，负责本项目安全生产的组织与实施。</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3、实行总包的建筑工程，总包单位对施工现场的施工安全全面负责，分包单位对分包工程的施工安全负责，并接受总包单位的统一监督管理。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4、承包人必须依法加强对安全生产的监督管理，执行国家、省、市有关规范标准，积极采取措施，落实各项安全技术措施要求，防止伤亡和其它安全生产事故的发生。</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5、承包人应当落实安全生产教育培训制度，加强对职工安全生产的培训教育，提高职工的安全防范意识。未经安全生产教育培训的人员，不得上岗作业。</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特种作业人员应当经国家规定的有关部门组织培训，经考核合格，取得上岗证书后，方可上岗作业。</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6、承包人及其工程项目部必须按规定设置专职安全员从事安全管理。专职安全员应持证上岗，并按规定独立行使职权。</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承包人在编制施工组织设计时，应当根据工程特点制定相应的安全技术措施；对专业性较强的分部分项工程，应编制专项安全施工组织设计，并采取措施严格执行。承包人编制的安全施工组织设计应向作业人员进行书面措施交底，被交底人应当在交底书面材料上签字。</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下列工程项目，承包人的工程项目经理部应当编制专项施工安全方案，并按规定报批后实施：①脚手架的搭设、使用和拆除；②垂直运输机械设备、起重吊装、塔吊等机具的拆除与安装；③模板工程；④施工现场临时用电；⑤其它特殊作业。</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施工现场应健全各类现场安全管理制度，如施工现场定期安全检查与会议制度，各类设备、设备的安全验收制度，安全技术交底制度，安全生产奖罚制度，安全内业资料管理制度及各种技术操作规程及职责等。施工现场必须严格执行施工临时用电、脚手架及高处作业防护、施工机械与垂直运输设备的安装检查、验收制度，对无验收手续或验收不合格的坚决不予使用。</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承包人及施工现场应严格执行国家及建设行政主管部门有关建筑安全的各项法律、法令、法规及行业规章、规程等管理规定，严格执行现行的安全标准规范和规程，严禁各类违章指挥与违章作业。作业人员有权对影响人身健康的作业程序和作业条件提出改进意见，有权获得安全生产所需的防护用品，有权对危及生命安全和身体健康的行为提出批评、检举和控告。</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11、承包人应根据季节和生产情况的变化，定期或不定期组织安全生产全面检查或专项检查，对存在的事故隐患应当及时整改。</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12、承包人应当依据不同施工阶段的施工防护要求，采取相应的施工安全防护措施。现场施工安全防护措施应当符合国家劳动安全、卫生及消防标准。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施工现场应具备良好安全保证措施与完全的安全设施。严格执行临边洞口的防护要求，建筑四周要求封闭施工，进入现场应设安全通道等，临街面施工必须封闭施工，保证过往行人的人身安全。施工临时用电必须采用三相五线制。</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13、发生重大事故时，承包人必须立即将事故的简要情况向上级主管部门、建设行政部门、建筑安监机构、公安机关、总工会、安全生产监督行政部门报告，并在24小时内写出书面报告。</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重大事故书面报告应当包括以下内容：</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①事故发生的时间、地点、工程项目、企业名称；</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②事故发生的简要经过、伤亡人数和直接经济损失的初步估计；</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③事故发生原因的初步判断；</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④事故发生后采取的措施及事故控制情况；</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⑤事故报告单位。</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14、事故发生后，事故发生单位和建设行政主管部门应当严格保护事故现场，采取有效措施抢救人员和财产，防止事态扩大，重大事故的调查处理按照国家有关规定执行。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15、事故发生后，承包人要积极配合事故联合调查组的调查，不得隐瞒不报、谎报、故意拖延报告期限，不得破坏事故现场。</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16、、承包人应根据中华人民共和国建筑法第五章四十八条的规定，对施工人员进行意外伤害、伤亡保险，支付保险费。</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本责任书一式二份，发包人、承包人各执一份。</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发包人（盖章）：                         承包人（盖章）：</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法定代表人（或委托代理人）：             法定代表人（或委托代理人）：</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日期：</w:t>
      </w:r>
      <w:bookmarkEnd w:id="286"/>
      <w:r/>
      <w:r/>
    </w:p>
    <w:p>
      <w:pPr>
        <w:pStyle w:val="845"/>
        <w:jc w:val="center"/>
        <w:spacing w:before="286" w:after="286"/>
        <w:rPr>
          <w:rFonts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br w:type="page" w:clear="all"/>
      </w:r>
      <w:r>
        <w:rPr>
          <w:rFonts w:hint="eastAsia" w:ascii="宋体" w:hAnsi="宋体" w:eastAsia="宋体" w:cs="宋体"/>
          <w:b/>
          <w:color w:val="000000" w:themeColor="text1"/>
          <w:sz w:val="36"/>
          <w:szCs w:val="36"/>
          <w:highlight w:val="none"/>
          <w14:textFill>
            <w14:solidFill>
              <w14:schemeClr w14:val="tx1"/>
            </w14:solidFill>
          </w14:textFill>
        </w:rPr>
        <w:t xml:space="preserve">第六章 投标</w:t>
      </w:r>
      <w:bookmarkEnd w:id="244"/>
      <w:r/>
      <w:bookmarkEnd w:id="245"/>
      <w:r/>
      <w:bookmarkEnd w:id="246"/>
      <w:r>
        <w:rPr>
          <w:rFonts w:hint="eastAsia" w:ascii="宋体" w:hAnsi="宋体" w:eastAsia="宋体" w:cs="宋体"/>
          <w:b/>
          <w:color w:val="000000" w:themeColor="text1"/>
          <w:sz w:val="36"/>
          <w:szCs w:val="36"/>
          <w:highlight w:val="none"/>
          <w14:textFill>
            <w14:solidFill>
              <w14:schemeClr w14:val="tx1"/>
            </w14:solidFill>
          </w14:textFill>
        </w:rPr>
        <w:t xml:space="preserve">文件格式</w:t>
      </w:r>
      <w:bookmarkEnd w:id="273"/>
      <w:r/>
      <w:bookmarkEnd w:id="274"/>
      <w:r/>
      <w:bookmarkEnd w:id="275"/>
      <w:r/>
      <w:bookmarkEnd w:id="276"/>
      <w:r/>
      <w:bookmarkEnd w:id="282"/>
      <w:r/>
      <w:r/>
    </w:p>
    <w:p>
      <w:pPr>
        <w:jc w:val="center"/>
        <w:rPr>
          <w:rFonts w:ascii="宋体" w:hAnsi="宋体" w:cs="宋体"/>
          <w:b/>
          <w:color w:val="000000" w:themeColor="text1"/>
          <w:sz w:val="72"/>
          <w:highlight w:val="none"/>
          <w14:textFill>
            <w14:solidFill>
              <w14:schemeClr w14:val="tx1"/>
            </w14:solidFill>
          </w14:textFill>
        </w:rPr>
      </w:pPr>
      <w:r/>
      <w:bookmarkStart w:id="847" w:name="_Hlt26955039"/>
      <w:r/>
      <w:bookmarkEnd w:id="847"/>
      <w:r/>
      <w:bookmarkStart w:id="848" w:name="_Hlt26671244"/>
      <w:r/>
      <w:bookmarkEnd w:id="848"/>
      <w:r/>
      <w:r/>
    </w:p>
    <w:p>
      <w:pPr>
        <w:pStyle w:val="884"/>
        <w:ind w:firstLine="0"/>
        <w:jc w:val="center"/>
        <w:rPr>
          <w:rFonts w:ascii="宋体" w:hAnsi="宋体" w:cs="宋体"/>
          <w:b/>
          <w:color w:val="000000" w:themeColor="text1"/>
          <w:sz w:val="96"/>
          <w:szCs w:val="28"/>
          <w:highlight w:val="none"/>
          <w:lang w:eastAsia="zh-CN"/>
          <w14:textFill>
            <w14:solidFill>
              <w14:schemeClr w14:val="tx1"/>
            </w14:solidFill>
          </w14:textFill>
        </w:rPr>
      </w:pPr>
      <w:r>
        <w:rPr>
          <w:rFonts w:hint="eastAsia" w:ascii="宋体" w:hAnsi="宋体" w:cs="宋体"/>
          <w:b/>
          <w:bCs/>
          <w:color w:val="000000" w:themeColor="text1"/>
          <w:sz w:val="96"/>
          <w:szCs w:val="28"/>
          <w:highlight w:val="none"/>
          <w:lang w:eastAsia="zh-CN"/>
          <w14:textFill>
            <w14:solidFill>
              <w14:schemeClr w14:val="tx1"/>
            </w14:solidFill>
          </w14:textFill>
        </w:rPr>
        <w:t xml:space="preserve">投 标 文 件</w:t>
      </w:r>
      <w:r/>
    </w:p>
    <w:p>
      <w:pPr>
        <w:rPr>
          <w:rFonts w:ascii="宋体" w:hAnsi="宋体" w:cs="宋体"/>
          <w:b/>
          <w:color w:val="000000" w:themeColor="text1"/>
          <w:sz w:val="72"/>
          <w:highlight w:val="none"/>
          <w14:textFill>
            <w14:solidFill>
              <w14:schemeClr w14:val="tx1"/>
            </w14:solidFill>
          </w14:textFill>
        </w:rPr>
      </w:pPr>
      <w:r>
        <w:rPr>
          <w:rFonts w:ascii="宋体" w:hAnsi="宋体" w:cs="宋体"/>
          <w:b/>
          <w:color w:val="000000" w:themeColor="text1"/>
          <w:sz w:val="72"/>
          <w:highlight w:val="none"/>
          <w14:textFill>
            <w14:solidFill>
              <w14:schemeClr w14:val="tx1"/>
            </w14:solidFill>
          </w14:textFill>
        </w:rPr>
      </w:r>
      <w:r/>
    </w:p>
    <w:p>
      <w:pPr>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jc w:val="center"/>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pStyle w:val="884"/>
        <w:ind w:left="1050" w:firstLine="0"/>
        <w:spacing w:before="0" w:after="0"/>
        <w:rPr>
          <w:rFonts w:ascii="宋体" w:hAnsi="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项目名称： </w:t>
      </w:r>
      <w:r/>
    </w:p>
    <w:p>
      <w:pPr>
        <w:pStyle w:val="884"/>
        <w:ind w:left="1050" w:firstLine="0"/>
        <w:spacing w:before="0" w:after="0"/>
        <w:rPr>
          <w:rFonts w:ascii="宋体" w:hAnsi="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项目编号：</w:t>
      </w:r>
      <w:r/>
    </w:p>
    <w:p>
      <w:pPr>
        <w:pStyle w:val="884"/>
        <w:ind w:left="1050" w:firstLine="0"/>
        <w:spacing w:before="0" w:after="0"/>
        <w:rPr>
          <w:rFonts w:ascii="宋体" w:hAnsi="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供应商名称： </w:t>
      </w:r>
      <w:r/>
    </w:p>
    <w:p>
      <w:pPr>
        <w:pStyle w:val="884"/>
        <w:ind w:left="1050" w:firstLine="0"/>
        <w:spacing w:before="0" w:after="0"/>
        <w:rPr>
          <w:rFonts w:ascii="宋体" w:hAnsi="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日    期：</w:t>
      </w:r>
      <w:r/>
    </w:p>
    <w:p>
      <w:pPr>
        <w:jc w:val="left"/>
        <w:widowControl/>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pStyle w:val="846"/>
        <w:spacing w:before="0" w:after="0" w:line="360" w:lineRule="auto"/>
        <w:rPr>
          <w:rFonts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br w:type="page" w:clear="all"/>
      </w:r>
      <w:bookmarkStart w:id="849" w:name="_Toc226127008"/>
      <w:r/>
      <w:bookmarkStart w:id="850" w:name="_Toc12887280"/>
      <w:r>
        <w:rPr>
          <w:rFonts w:hint="eastAsia" w:ascii="宋体" w:hAnsi="宋体" w:eastAsia="宋体" w:cs="宋体"/>
          <w:color w:val="000000" w:themeColor="text1"/>
          <w:sz w:val="28"/>
          <w:szCs w:val="28"/>
          <w:highlight w:val="none"/>
          <w:lang w:eastAsia="zh-CN"/>
          <w14:textFill>
            <w14:solidFill>
              <w14:schemeClr w14:val="tx1"/>
            </w14:solidFill>
          </w14:textFill>
        </w:rPr>
        <w:t xml:space="preserve">资格审查内容</w:t>
      </w:r>
      <w:bookmarkEnd w:id="849"/>
      <w:r/>
      <w:bookmarkEnd w:id="850"/>
      <w:r/>
    </w:p>
    <w:p>
      <w:pPr>
        <w:pStyle w:val="972"/>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（一）满足《中华人民共和国政府采购法》第二十二条规定:</w:t>
      </w:r>
      <w:r/>
    </w:p>
    <w:p>
      <w:pPr>
        <w:pStyle w:val="972"/>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b/>
          <w:bCs/>
          <w:color w:val="000000" w:themeColor="text1"/>
          <w:sz w:val="24"/>
          <w:szCs w:val="24"/>
          <w:highlight w:val="none"/>
          <w14:textFill>
            <w14:solidFill>
              <w14:schemeClr w14:val="tx1"/>
            </w14:solidFill>
          </w14:textFill>
        </w:rPr>
        <w:t xml:space="preserve">通用资格要求：</w:t>
      </w:r>
      <w:r/>
    </w:p>
    <w:p>
      <w:pPr>
        <w:pStyle w:val="972"/>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（1）提供法人或者其他组织的营业执照等证明文件；如投标人为自然人的，需提供身份证明（复印件）；</w:t>
      </w:r>
      <w:r/>
    </w:p>
    <w:p>
      <w:pPr>
        <w:pStyle w:val="972"/>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（2）提供2024年度或2025年度财务状况报告，或2026年1月以来任意一个月的财务报表，或银行出具的资信证明，或财政部门认可的专业担保机构出具的投标担保函（复印件，成立不满一年不需提供）；</w:t>
      </w:r>
      <w:r/>
    </w:p>
    <w:p>
      <w:pPr>
        <w:pStyle w:val="972"/>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（3）在提交投标文件截止时间前一年内（至少一个月），依法缴纳税收（如增值税或营业税、企业所得税等）的有效证明材料（复印件，供应商依法享受缓缴、免缴税收的，须提供有效证明材料）；</w:t>
      </w:r>
      <w:r/>
    </w:p>
    <w:p>
      <w:pPr>
        <w:pStyle w:val="972"/>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（4）在提交投标文件截止时间前一年内（至少一个月），依法缴纳社会保障资金的有效证明材料（复印件，供应商依法享受缓缴、免缴社会保障资金的，须提供有效证明材料）； </w:t>
      </w:r>
      <w:r/>
    </w:p>
    <w:p>
      <w:pPr>
        <w:pStyle w:val="972"/>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（5）具备履行合同所必需的设备和专业技术能力的书面声明（</w:t>
      </w:r>
      <w:r>
        <w:rPr>
          <w:rFonts w:hint="eastAsia" w:ascii="宋体" w:hAnsi="宋体" w:cs="宋体"/>
          <w:bCs/>
          <w:color w:val="000000" w:themeColor="text1"/>
          <w:sz w:val="24"/>
          <w:highlight w:val="none"/>
          <w14:textFill>
            <w14:solidFill>
              <w14:schemeClr w14:val="tx1"/>
            </w14:solidFill>
          </w14:textFill>
        </w:rPr>
        <w:t xml:space="preserve">格式见附件</w:t>
      </w:r>
      <w:r>
        <w:rPr>
          <w:rFonts w:hint="eastAsia" w:ascii="宋体" w:hAnsi="宋体" w:cs="宋体"/>
          <w:color w:val="000000" w:themeColor="text1"/>
          <w:sz w:val="24"/>
          <w:szCs w:val="24"/>
          <w:highlight w:val="none"/>
          <w14:textFill>
            <w14:solidFill>
              <w14:schemeClr w14:val="tx1"/>
            </w14:solidFill>
          </w14:textFill>
        </w:rPr>
        <w:t xml:space="preserve">）；</w:t>
      </w:r>
      <w:r/>
    </w:p>
    <w:p>
      <w:pPr>
        <w:pStyle w:val="972"/>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（6）参加政府采购活动前 3 年内在经营活动中没有重大违法记录的书面声明（盖章原件，格式见附件）；</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2、其他资格要求：</w:t>
      </w:r>
      <w:r/>
    </w:p>
    <w:p>
      <w:pPr>
        <w:pStyle w:val="972"/>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p>
    <w:p>
      <w:pPr>
        <w:pStyle w:val="972"/>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（2）提供法人授权书（格式见附件）；</w:t>
      </w:r>
      <w:r/>
    </w:p>
    <w:p>
      <w:pPr>
        <w:pStyle w:val="972"/>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（3）提供投标函（盖章原件，格式见附件）；</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（二）落实政府采购政策需满足的资格要求：本项目为非专门面向中小微企业项目。</w:t>
      </w:r>
      <w:r>
        <w:rPr>
          <w:rFonts w:hint="eastAsia" w:ascii="宋体" w:hAnsi="宋体" w:cs="宋体"/>
          <w:color w:val="000000" w:themeColor="text1"/>
          <w:sz w:val="24"/>
          <w:highlight w:val="none"/>
          <w14:textFill>
            <w14:solidFill>
              <w14:schemeClr w14:val="tx1"/>
            </w14:solidFill>
          </w14:textFill>
        </w:rPr>
        <w:t xml:space="preserve">提供《中小微企业声明函》或《残疾人福利性单位声明函》或提供由省级以上监狱管理局、戒毒管理局(含新疆生产建设兵团)出具的属于监狱企业的证明文件（格式见附件）；</w:t>
      </w:r>
      <w:r/>
    </w:p>
    <w:p>
      <w:pPr>
        <w:pStyle w:val="972"/>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（三）本项目的特定资格要求：</w:t>
      </w:r>
      <w:r/>
    </w:p>
    <w:p>
      <w:pPr>
        <w:ind w:firstLine="482"/>
        <w:spacing w:line="440" w:lineRule="exact"/>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（1）供应商具备电子与智能化工程专业承包贰级及以上资质，并具备安全生产许可证。</w:t>
      </w:r>
      <w:r/>
    </w:p>
    <w:p>
      <w:pPr>
        <w:ind w:firstLine="482"/>
        <w:spacing w:line="44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（2）项目经理具备机电工程专业二级及以上注册建造师或通信与广电工程专业一级注册建造师，并持有有效的安全生产考核合格证书（B 类），且无在建工程以及供应商为其缴纳的</w:t>
      </w:r>
      <w:r>
        <w:rPr>
          <w:rFonts w:hint="eastAsia" w:ascii="宋体" w:hAnsi="宋体" w:cs="宋体"/>
          <w:b/>
          <w:bCs/>
          <w:color w:val="000000" w:themeColor="text1"/>
          <w:sz w:val="24"/>
          <w:highlight w:val="none"/>
          <w:lang w:val="en-US" w:eastAsia="zh-CN"/>
          <w14:textFill>
            <w14:solidFill>
              <w14:schemeClr w14:val="tx1"/>
            </w14:solidFill>
          </w14:textFill>
        </w:rPr>
        <w:t xml:space="preserve">2026年1月至今任意一个月</w:t>
      </w:r>
      <w:r>
        <w:rPr>
          <w:rFonts w:hint="eastAsia" w:ascii="宋体" w:hAnsi="宋体" w:cs="宋体"/>
          <w:b/>
          <w:bCs/>
          <w:color w:val="000000" w:themeColor="text1"/>
          <w:sz w:val="24"/>
          <w:highlight w:val="none"/>
          <w14:textFill>
            <w14:solidFill>
              <w14:schemeClr w14:val="tx1"/>
            </w14:solidFill>
          </w14:textFill>
        </w:rPr>
        <w:t xml:space="preserve">社保证明。</w:t>
      </w:r>
      <w:r/>
    </w:p>
    <w:p>
      <w:pPr>
        <w:pStyle w:val="972"/>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pStyle w:val="972"/>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【注】：</w:t>
      </w:r>
      <w:r>
        <w:rPr>
          <w:rFonts w:hint="eastAsia" w:ascii="宋体" w:hAnsi="宋体" w:cs="宋体"/>
          <w:b/>
          <w:bCs/>
          <w:color w:val="000000" w:themeColor="text1"/>
          <w:sz w:val="24"/>
          <w:highlight w:val="none"/>
          <w14:textFill>
            <w14:solidFill>
              <w14:schemeClr w14:val="tx1"/>
            </w14:solidFill>
          </w14:textFill>
        </w:rPr>
        <w:t xml:space="preserve">投标人必须按以上</w:t>
      </w:r>
      <w:r>
        <w:rPr>
          <w:rFonts w:hint="eastAsia" w:ascii="宋体" w:hAnsi="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资格审查内容”要求提供相关材料，否则作无效投标处理；</w:t>
      </w:r>
      <w:r/>
    </w:p>
    <w:p>
      <w:pPr>
        <w:pStyle w:val="972"/>
        <w:ind w:firstLine="42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rPr>
          <w:rFonts w:hint="eastAsia" w:ascii="宋体" w:hAnsi="宋体" w:cs="宋体"/>
          <w:color w:val="000000" w:themeColor="text1"/>
          <w:sz w:val="24"/>
          <w:szCs w:val="24"/>
          <w:highlight w:val="none"/>
          <w14:textFill>
            <w14:solidFill>
              <w14:schemeClr w14:val="tx1"/>
            </w14:solidFill>
          </w14:textFill>
        </w:rPr>
        <w:t xml:space="preserve">附件：</w:t>
      </w:r>
      <w:r/>
    </w:p>
    <w:p>
      <w:pPr>
        <w:pStyle w:val="972"/>
        <w:ind w:firstLine="48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pStyle w:val="846"/>
        <w:spacing w:before="286" w:after="143" w:line="360" w:lineRule="auto"/>
        <w:rPr>
          <w:rFonts w:ascii="宋体" w:hAnsi="宋体" w:eastAsia="宋体" w:cs="宋体"/>
          <w:color w:val="000000" w:themeColor="text1"/>
          <w:sz w:val="28"/>
          <w:szCs w:val="28"/>
          <w:highlight w:val="none"/>
          <w:lang w:eastAsia="zh-CN"/>
          <w14:textFill>
            <w14:solidFill>
              <w14:schemeClr w14:val="tx1"/>
            </w14:solidFill>
          </w14:textFill>
        </w:rPr>
      </w:pPr>
      <w:r/>
      <w:bookmarkStart w:id="851" w:name="_Toc226127009"/>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开标一览表</w:t>
      </w:r>
      <w:bookmarkEnd w:id="851"/>
      <w:r/>
      <w:r/>
    </w:p>
    <w:p>
      <w:pPr>
        <w:pStyle w:val="847"/>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sz w:val="24"/>
          <w:szCs w:val="20"/>
          <w:highlight w:val="none"/>
          <w14:textFill>
            <w14:solidFill>
              <w14:schemeClr w14:val="tx1"/>
            </w14:solidFill>
          </w14:textFill>
        </w:rPr>
      </w:pPr>
      <w:r>
        <w:rPr>
          <w:rFonts w:ascii="宋体" w:hAnsi="宋体" w:cs="宋体"/>
          <w:color w:val="000000" w:themeColor="text1"/>
          <w:sz w:val="24"/>
          <w:szCs w:val="20"/>
          <w:highlight w:val="none"/>
          <w14:textFill>
            <w14:solidFill>
              <w14:schemeClr w14:val="tx1"/>
            </w14:solidFill>
          </w14:textFill>
        </w:rPr>
      </w:r>
      <w:r/>
    </w:p>
    <w:p>
      <w:pPr>
        <w:ind w:firstLine="288"/>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投标人全称：</w:t>
      </w:r>
      <w:r/>
    </w:p>
    <w:p>
      <w:pPr>
        <w:ind w:firstLine="288"/>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p>
    <w:p>
      <w:pPr>
        <w:ind w:firstLine="288"/>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 </w:t>
      </w:r>
      <w:r/>
    </w:p>
    <w:p>
      <w:pPr>
        <w:ind w:firstLine="288"/>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分包号：</w:t>
      </w:r>
      <w:r/>
    </w:p>
    <w:tbl>
      <w:tblPr>
        <w:tblStyle w:val="675"/>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8"/>
      </w:tblGrid>
      <w:tr>
        <w:trPr>
          <w:cantSplit/>
          <w:trHeight w:val="725"/>
        </w:trPr>
        <w:tc>
          <w:tcPr>
            <w:tcW w:w="8488" w:type="dxa"/>
            <w:vAlign w:val="center"/>
            <w:textDirection w:val="lrTb"/>
            <w:noWrap w:val="false"/>
          </w:tcPr>
          <w:p>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投标总报价</w:t>
            </w:r>
            <w:r/>
          </w:p>
        </w:tc>
      </w:tr>
      <w:tr>
        <w:trPr>
          <w:cantSplit/>
          <w:trHeight w:val="612"/>
        </w:trPr>
        <w:tc>
          <w:tcPr>
            <w:tcW w:w="8488" w:type="dxa"/>
            <w:vAlign w:val="center"/>
            <w:textDirection w:val="lrTb"/>
            <w:noWrap w:val="false"/>
          </w:tcPr>
          <w:p>
            <w:pPr>
              <w:jc w:val="left"/>
              <w:spacing w:line="500" w:lineRule="exact"/>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小写：                             （人民币：元）</w:t>
            </w:r>
            <w:r/>
          </w:p>
        </w:tc>
      </w:tr>
    </w:tbl>
    <w:p>
      <w:pPr>
        <w:ind w:firstLine="480"/>
        <w:jc w:val="righ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72"/>
        <w:ind w:firstLine="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rPr>
          <w:rFonts w:hint="eastAsia" w:ascii="宋体" w:hAnsi="宋体" w:cs="宋体"/>
          <w:color w:val="000000" w:themeColor="text1"/>
          <w:sz w:val="24"/>
          <w:szCs w:val="24"/>
          <w:highlight w:val="none"/>
          <w14:textFill>
            <w14:solidFill>
              <w14:schemeClr w14:val="tx1"/>
            </w14:solidFill>
          </w14:textFill>
        </w:rPr>
        <w:t xml:space="preserve">附件：</w:t>
      </w:r>
      <w:r/>
    </w:p>
    <w:p>
      <w:pPr>
        <w:pStyle w:val="846"/>
        <w:spacing w:before="286" w:after="143" w:line="360" w:lineRule="auto"/>
        <w:rPr>
          <w:rFonts w:ascii="宋体" w:hAnsi="宋体" w:eastAsia="宋体" w:cs="宋体"/>
          <w:color w:val="000000" w:themeColor="text1"/>
          <w:sz w:val="28"/>
          <w:szCs w:val="28"/>
          <w:highlight w:val="none"/>
          <w:lang w:eastAsia="zh-CN"/>
          <w14:textFill>
            <w14:solidFill>
              <w14:schemeClr w14:val="tx1"/>
            </w14:solidFill>
          </w14:textFill>
        </w:rPr>
      </w:pPr>
      <w:r/>
      <w:bookmarkStart w:id="852" w:name="_Toc226127010"/>
      <w:r>
        <w:rPr>
          <w:rFonts w:hint="eastAsia" w:ascii="宋体" w:hAnsi="宋体" w:eastAsia="宋体" w:cs="宋体"/>
          <w:color w:val="000000" w:themeColor="text1"/>
          <w:sz w:val="28"/>
          <w:szCs w:val="28"/>
          <w:highlight w:val="none"/>
          <w:lang w:eastAsia="zh-CN"/>
          <w14:textFill>
            <w14:solidFill>
              <w14:schemeClr w14:val="tx1"/>
            </w14:solidFill>
          </w14:textFill>
        </w:rPr>
        <w:t xml:space="preserve">投标分项报价表</w:t>
      </w:r>
      <w:bookmarkEnd w:id="852"/>
      <w:r/>
      <w:r/>
    </w:p>
    <w:p>
      <w:pPr>
        <w:ind w:firstLine="482"/>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供应商必须按最新工程量清单计价规范要求进行报价，要求表格齐全，数据详实。主要材料的价格、品牌、型号规格必须体现在“承包人供应材料一览表”中。</w:t>
      </w:r>
      <w:r/>
    </w:p>
    <w:p>
      <w:pPr>
        <w:ind w:left="360" w:hanging="36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left="360" w:hanging="3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color w:val="000000" w:themeColor="text1"/>
          <w:sz w:val="24"/>
          <w:highlight w:val="none"/>
          <w14:textFill>
            <w14:solidFill>
              <w14:schemeClr w14:val="tx1"/>
            </w14:solidFill>
          </w14:textFill>
        </w:rPr>
        <w:t xml:space="preserve">附件：</w:t>
      </w:r>
      <w:r/>
    </w:p>
    <w:p>
      <w:pPr>
        <w:pStyle w:val="846"/>
        <w:spacing w:before="286" w:after="143" w:line="360" w:lineRule="auto"/>
        <w:rPr>
          <w:rFonts w:ascii="宋体" w:hAnsi="宋体" w:eastAsia="宋体" w:cs="宋体"/>
          <w:color w:val="000000" w:themeColor="text1"/>
          <w:sz w:val="28"/>
          <w:szCs w:val="28"/>
          <w:highlight w:val="none"/>
          <w:lang w:eastAsia="zh-CN"/>
          <w14:textFill>
            <w14:solidFill>
              <w14:schemeClr w14:val="tx1"/>
            </w14:solidFill>
          </w14:textFill>
        </w:rPr>
      </w:pPr>
      <w:r/>
      <w:bookmarkStart w:id="853" w:name="_Hlk47437482"/>
      <w:r>
        <w:rPr>
          <w:rFonts w:hint="eastAsia" w:ascii="宋体" w:hAnsi="宋体" w:eastAsia="宋体" w:cs="宋体"/>
          <w:color w:val="000000" w:themeColor="text1"/>
          <w:sz w:val="28"/>
          <w:szCs w:val="28"/>
          <w:highlight w:val="none"/>
          <w:lang w:eastAsia="zh-CN"/>
          <w14:textFill>
            <w14:solidFill>
              <w14:schemeClr w14:val="tx1"/>
            </w14:solidFill>
          </w14:textFill>
        </w:rPr>
        <w:t xml:space="preserve">技术要求响应及偏离表</w:t>
      </w:r>
      <w:bookmarkEnd w:id="853"/>
      <w:r/>
      <w:r/>
    </w:p>
    <w:tbl>
      <w:tblPr>
        <w:tblStyle w:val="675"/>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jc w:val="center"/>
              <w:spacing w:line="400" w:lineRule="exact"/>
              <w:rPr>
                <w:rFonts w:ascii="宋体" w:hAnsi="宋体" w:cs="宋体"/>
                <w:b/>
                <w:color w:val="000000" w:themeColor="text1"/>
                <w:sz w:val="24"/>
                <w:highlight w:val="none"/>
                <w14:textFill>
                  <w14:solidFill>
                    <w14:schemeClr w14:val="tx1"/>
                  </w14:solidFill>
                </w14:textFill>
              </w:rPr>
            </w:pPr>
            <w:r/>
            <w:bookmarkStart w:id="854" w:name="_Hlk13224763"/>
            <w:r>
              <w:rPr>
                <w:rFonts w:hint="eastAsia" w:ascii="宋体" w:hAnsi="宋体" w:cs="宋体"/>
                <w:b/>
                <w:color w:val="000000" w:themeColor="text1"/>
                <w:sz w:val="24"/>
                <w:highlight w:val="none"/>
                <w14:textFill>
                  <w14:solidFill>
                    <w14:schemeClr w14:val="tx1"/>
                  </w14:solidFill>
                </w14:textFill>
              </w:rPr>
              <w:t xml:space="preserve">序号</w:t>
            </w:r>
            <w:r/>
          </w:p>
        </w:tc>
        <w:tc>
          <w:tcPr>
            <w:tcW w:w="3063" w:type="dxa"/>
            <w:vAlign w:val="center"/>
            <w:textDirection w:val="lrTb"/>
            <w:noWrap w:val="false"/>
          </w:tcPr>
          <w:p>
            <w:pPr>
              <w:jc w:val="cente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技术要求</w:t>
            </w:r>
            <w:r/>
          </w:p>
        </w:tc>
        <w:tc>
          <w:tcPr>
            <w:tcW w:w="2891" w:type="dxa"/>
            <w:vAlign w:val="center"/>
            <w:textDirection w:val="lrTb"/>
            <w:noWrap w:val="false"/>
          </w:tcPr>
          <w:p>
            <w:pPr>
              <w:jc w:val="cente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投标响应情况</w:t>
            </w:r>
            <w:r/>
          </w:p>
        </w:tc>
        <w:tc>
          <w:tcPr>
            <w:tcW w:w="1205" w:type="dxa"/>
            <w:vAlign w:val="center"/>
            <w:textDirection w:val="lrTb"/>
            <w:noWrap w:val="false"/>
          </w:tcPr>
          <w:p>
            <w:pPr>
              <w:jc w:val="center"/>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 xml:space="preserve">超出/</w:t>
            </w:r>
            <w:r/>
          </w:p>
          <w:p>
            <w:pPr>
              <w:jc w:val="center"/>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 xml:space="preserve">符合/</w:t>
            </w:r>
            <w:r/>
          </w:p>
          <w:p>
            <w:pPr>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 xml:space="preserve">偏离</w:t>
            </w:r>
            <w:r/>
          </w:p>
        </w:tc>
        <w:tc>
          <w:tcPr>
            <w:tcW w:w="1205" w:type="dxa"/>
            <w:vAlign w:val="center"/>
            <w:textDirection w:val="lrTb"/>
            <w:noWrap w:val="false"/>
          </w:tcPr>
          <w:p>
            <w:pPr>
              <w:jc w:val="cente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备注</w:t>
            </w:r>
            <w:r/>
          </w:p>
        </w:tc>
      </w:tr>
      <w:tr>
        <w:trPr>
          <w:cantSplit/>
          <w:trHeight w:val="640"/>
        </w:trPr>
        <w:tc>
          <w:tcPr>
            <w:tcW w:w="562"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3063"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891"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5"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5"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trHeight w:val="640"/>
        </w:trPr>
        <w:tc>
          <w:tcPr>
            <w:tcW w:w="562"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3063"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891"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5"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5"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trHeight w:val="640"/>
        </w:trPr>
        <w:tc>
          <w:tcPr>
            <w:tcW w:w="562"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3063"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891"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5"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5"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trHeight w:val="640"/>
        </w:trPr>
        <w:tc>
          <w:tcPr>
            <w:tcW w:w="562"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3063"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891"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5"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5"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trHeight w:val="640"/>
        </w:trPr>
        <w:tc>
          <w:tcPr>
            <w:tcW w:w="562"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3063"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891"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5"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5"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trHeight w:val="640"/>
        </w:trPr>
        <w:tc>
          <w:tcPr>
            <w:tcW w:w="562"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3063"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891"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5"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5"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trHeight w:val="640"/>
        </w:trPr>
        <w:tc>
          <w:tcPr>
            <w:tcW w:w="562"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3063"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891"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5"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5"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trHeight w:val="640"/>
        </w:trPr>
        <w:tc>
          <w:tcPr>
            <w:tcW w:w="562"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3063"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891"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5"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5"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bookmarkEnd w:id="854"/>
            <w:r/>
          </w:p>
        </w:tc>
      </w:tr>
    </w:tbl>
    <w:p>
      <w:pPr>
        <w:jc w:val="left"/>
        <w:spacing w:line="30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附件（如有证明材料）：……</w:t>
      </w:r>
      <w:r/>
    </w:p>
    <w:p>
      <w:pPr>
        <w:jc w:val="left"/>
        <w:spacing w:line="30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left="361" w:hanging="361"/>
        <w:jc w:val="left"/>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w:t>
      </w:r>
      <w:r/>
    </w:p>
    <w:p>
      <w:pPr>
        <w:numPr>
          <w:ilvl w:val="0"/>
          <w:numId w:val="1"/>
        </w:numPr>
        <w:jc w:val="left"/>
        <w:spacing w:line="360" w:lineRule="auto"/>
        <w:rPr>
          <w:rFonts w:ascii="宋体" w:hAnsi="宋体" w:cs="宋体"/>
          <w:color w:val="000000" w:themeColor="text1"/>
          <w:sz w:val="24"/>
          <w:highlight w:val="none"/>
          <w14:textFill>
            <w14:solidFill>
              <w14:schemeClr w14:val="tx1"/>
            </w14:solidFill>
          </w14:textFill>
        </w:rPr>
      </w:pPr>
      <w:r/>
      <w:bookmarkStart w:id="855" w:name="_Hlk171012259"/>
      <w:r>
        <w:rPr>
          <w:rFonts w:hint="eastAsia" w:ascii="宋体" w:hAnsi="宋体" w:cs="宋体"/>
          <w:color w:val="000000" w:themeColor="text1"/>
          <w:sz w:val="24"/>
          <w:highlight w:val="none"/>
          <w14:textFill>
            <w14:solidFill>
              <w14:schemeClr w14:val="tx1"/>
            </w14:solidFill>
          </w14:textFill>
        </w:rPr>
        <w:t xml:space="preserve">投标人需对本招标文件</w:t>
      </w:r>
      <w:bookmarkEnd w:id="855"/>
      <w:r/>
      <w:bookmarkStart w:id="856" w:name="_Hlk171012238"/>
      <w:r>
        <w:rPr>
          <w:rFonts w:hint="eastAsia" w:ascii="宋体" w:hAnsi="宋体" w:cs="宋体"/>
          <w:color w:val="000000" w:themeColor="text1"/>
          <w:sz w:val="24"/>
          <w:highlight w:val="none"/>
          <w14:textFill>
            <w14:solidFill>
              <w14:schemeClr w14:val="tx1"/>
            </w14:solidFill>
          </w14:textFill>
        </w:rPr>
        <w:t xml:space="preserve">中</w:t>
      </w:r>
      <w:bookmarkStart w:id="857" w:name="_Hlk172202898"/>
      <w:r>
        <w:rPr>
          <w:rFonts w:hint="eastAsia" w:ascii="宋体" w:hAnsi="宋体" w:cs="宋体"/>
          <w:color w:val="000000" w:themeColor="text1"/>
          <w:sz w:val="24"/>
          <w:highlight w:val="none"/>
          <w14:textFill>
            <w14:solidFill>
              <w14:schemeClr w14:val="tx1"/>
            </w14:solidFill>
          </w14:textFill>
        </w:rPr>
        <w:t xml:space="preserve">“第三章 项目需求”</w:t>
      </w:r>
      <w:bookmarkStart w:id="858" w:name="_Hlk172203447"/>
      <w:r>
        <w:rPr>
          <w:rFonts w:hint="eastAsia" w:ascii="宋体" w:hAnsi="宋体" w:cs="宋体"/>
          <w:color w:val="000000" w:themeColor="text1"/>
          <w:sz w:val="24"/>
          <w:highlight w:val="none"/>
          <w14:textFill>
            <w14:solidFill>
              <w14:schemeClr w14:val="tx1"/>
            </w14:solidFill>
          </w14:textFill>
        </w:rPr>
        <w:t xml:space="preserve">中的“</w:t>
      </w:r>
      <w:bookmarkEnd w:id="856"/>
      <w:r/>
      <w:bookmarkEnd w:id="857"/>
      <w:r/>
      <w:bookmarkEnd w:id="858"/>
      <w:r>
        <w:rPr>
          <w:rFonts w:hint="eastAsia" w:ascii="宋体" w:hAnsi="宋体" w:cs="宋体"/>
          <w:color w:val="000000" w:themeColor="text1"/>
          <w:sz w:val="24"/>
          <w:highlight w:val="none"/>
          <w14:textFill>
            <w14:solidFill>
              <w14:schemeClr w14:val="tx1"/>
            </w14:solidFill>
          </w14:textFill>
        </w:rPr>
        <w:t xml:space="preserve">一、三、四、五、六、七”（其中</w:t>
      </w:r>
      <w:r>
        <w:rPr>
          <w:rFonts w:hint="eastAsia" w:ascii="宋体" w:hAnsi="宋体" w:cs="宋体"/>
          <w:b/>
          <w:bCs/>
          <w:i/>
          <w:iCs/>
          <w:color w:val="000000" w:themeColor="text1"/>
          <w:sz w:val="24"/>
          <w:highlight w:val="none"/>
          <w:u w:val="single"/>
          <w14:textFill>
            <w14:solidFill>
              <w14:schemeClr w14:val="tx1"/>
            </w14:solidFill>
          </w14:textFill>
        </w:rPr>
        <w:t xml:space="preserve">斜体且有下划线内容</w:t>
      </w:r>
      <w:r>
        <w:rPr>
          <w:rFonts w:hint="eastAsia" w:ascii="宋体" w:hAnsi="宋体" w:cs="宋体"/>
          <w:b/>
          <w:bCs/>
          <w:color w:val="000000" w:themeColor="text1"/>
          <w:sz w:val="24"/>
          <w:highlight w:val="none"/>
          <w14:textFill>
            <w14:solidFill>
              <w14:schemeClr w14:val="tx1"/>
            </w14:solidFill>
          </w14:textFill>
        </w:rPr>
        <w:t xml:space="preserve">或标★的实质性要求除外</w:t>
      </w:r>
      <w:r>
        <w:rPr>
          <w:rFonts w:hint="eastAsia" w:ascii="宋体" w:hAnsi="宋体" w:cs="宋体"/>
          <w:color w:val="000000" w:themeColor="text1"/>
          <w:sz w:val="24"/>
          <w:highlight w:val="none"/>
          <w14:textFill>
            <w14:solidFill>
              <w14:schemeClr w14:val="tx1"/>
            </w14:solidFill>
          </w14:textFill>
        </w:rPr>
        <w:t xml:space="preserve">）做出响应；如有无法响应的要求，则须在本表中明确填报，如有缺漏项，则视为投标人承诺响应缺漏项的相关要求；</w:t>
      </w:r>
      <w:r/>
    </w:p>
    <w:p>
      <w:pPr>
        <w:numPr>
          <w:ilvl w:val="0"/>
          <w:numId w:val="1"/>
        </w:numPr>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如招标文件要求提供相应证明材料的，需将证明材料按顺序列于本表之下；</w:t>
      </w:r>
      <w:r/>
    </w:p>
    <w:p>
      <w:pPr>
        <w:ind w:left="360" w:hanging="36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rPr>
          <w:rFonts w:hint="eastAsia" w:ascii="宋体" w:hAnsi="宋体" w:cs="宋体"/>
          <w:color w:val="000000" w:themeColor="text1"/>
          <w:sz w:val="24"/>
          <w:highlight w:val="none"/>
          <w14:textFill>
            <w14:solidFill>
              <w14:schemeClr w14:val="tx1"/>
            </w14:solidFill>
          </w14:textFill>
        </w:rPr>
        <w:t xml:space="preserve">附件：</w:t>
      </w:r>
      <w:r/>
    </w:p>
    <w:p>
      <w:pPr>
        <w:pStyle w:val="846"/>
        <w:spacing w:before="286" w:after="143" w:line="360" w:lineRule="auto"/>
        <w:rPr>
          <w:rFonts w:ascii="宋体" w:hAnsi="宋体" w:eastAsia="宋体" w:cs="宋体"/>
          <w:color w:val="000000" w:themeColor="text1"/>
          <w:sz w:val="28"/>
          <w:szCs w:val="28"/>
          <w:highlight w:val="none"/>
          <w:lang w:eastAsia="zh-CN"/>
          <w14:textFill>
            <w14:solidFill>
              <w14:schemeClr w14:val="tx1"/>
            </w14:solidFill>
          </w14:textFill>
        </w:rPr>
      </w:pPr>
      <w:r/>
      <w:bookmarkStart w:id="859" w:name="_Toc210922458"/>
      <w:r/>
      <w:bookmarkStart w:id="860" w:name="OLE_LINK32"/>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商务要求响应及偏离表</w:t>
      </w:r>
      <w:bookmarkEnd w:id="859"/>
      <w:r/>
      <w:r/>
    </w:p>
    <w:tbl>
      <w:tblPr>
        <w:tblStyle w:val="675"/>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jc w:val="cente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序号</w:t>
            </w:r>
            <w:r/>
          </w:p>
        </w:tc>
        <w:tc>
          <w:tcPr>
            <w:tcW w:w="3063" w:type="dxa"/>
            <w:vAlign w:val="center"/>
            <w:textDirection w:val="lrTb"/>
            <w:noWrap w:val="false"/>
          </w:tcPr>
          <w:p>
            <w:pPr>
              <w:jc w:val="cente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商务要求</w:t>
            </w:r>
            <w:r/>
          </w:p>
        </w:tc>
        <w:tc>
          <w:tcPr>
            <w:tcW w:w="2891" w:type="dxa"/>
            <w:vAlign w:val="center"/>
            <w:textDirection w:val="lrTb"/>
            <w:noWrap w:val="false"/>
          </w:tcPr>
          <w:p>
            <w:pPr>
              <w:jc w:val="cente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投标响应情况</w:t>
            </w:r>
            <w:r/>
          </w:p>
        </w:tc>
        <w:tc>
          <w:tcPr>
            <w:tcW w:w="1205" w:type="dxa"/>
            <w:vAlign w:val="center"/>
            <w:textDirection w:val="lrTb"/>
            <w:noWrap w:val="false"/>
          </w:tcPr>
          <w:p>
            <w:pPr>
              <w:jc w:val="center"/>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 xml:space="preserve">超出/</w:t>
            </w:r>
            <w:r/>
          </w:p>
          <w:p>
            <w:pPr>
              <w:jc w:val="center"/>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 xml:space="preserve">符合/</w:t>
            </w:r>
            <w:r/>
          </w:p>
          <w:p>
            <w:pPr>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 xml:space="preserve">偏离</w:t>
            </w:r>
            <w:r/>
          </w:p>
        </w:tc>
        <w:tc>
          <w:tcPr>
            <w:tcW w:w="1205" w:type="dxa"/>
            <w:vAlign w:val="center"/>
            <w:textDirection w:val="lrTb"/>
            <w:noWrap w:val="false"/>
          </w:tcPr>
          <w:p>
            <w:pPr>
              <w:jc w:val="cente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备注</w:t>
            </w:r>
            <w:r/>
          </w:p>
        </w:tc>
      </w:tr>
      <w:tr>
        <w:trPr>
          <w:cantSplit/>
          <w:trHeight w:val="640"/>
        </w:trPr>
        <w:tc>
          <w:tcPr>
            <w:tcW w:w="562"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3063"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891"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5"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5"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trHeight w:val="640"/>
        </w:trPr>
        <w:tc>
          <w:tcPr>
            <w:tcW w:w="562"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3063"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891"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5"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5"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trHeight w:val="640"/>
        </w:trPr>
        <w:tc>
          <w:tcPr>
            <w:tcW w:w="562"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3063"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891"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5"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5"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trHeight w:val="640"/>
        </w:trPr>
        <w:tc>
          <w:tcPr>
            <w:tcW w:w="562"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3063"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891"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5"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5"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trHeight w:val="640"/>
        </w:trPr>
        <w:tc>
          <w:tcPr>
            <w:tcW w:w="562"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3063"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891"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5"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5"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trHeight w:val="640"/>
        </w:trPr>
        <w:tc>
          <w:tcPr>
            <w:tcW w:w="562"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3063"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891"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5"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5"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trHeight w:val="640"/>
        </w:trPr>
        <w:tc>
          <w:tcPr>
            <w:tcW w:w="562"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3063"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891"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5"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5"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trHeight w:val="640"/>
        </w:trPr>
        <w:tc>
          <w:tcPr>
            <w:tcW w:w="562"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3063"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891"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5"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5"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jc w:val="left"/>
        <w:spacing w:line="30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附件（如有证明材料）：……</w:t>
      </w:r>
      <w:r/>
    </w:p>
    <w:p>
      <w:pPr>
        <w:jc w:val="left"/>
        <w:spacing w:line="30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left="361" w:hanging="361"/>
        <w:jc w:val="left"/>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w:t>
      </w:r>
      <w:r/>
    </w:p>
    <w:p>
      <w:pPr>
        <w:numPr>
          <w:ilvl w:val="0"/>
          <w:numId w:val="2"/>
        </w:numPr>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投标人需对本招标文件中“第三章 项目需求”中的“八、付款周期”（其中</w:t>
      </w:r>
      <w:r>
        <w:rPr>
          <w:rFonts w:hint="eastAsia" w:ascii="宋体" w:hAnsi="宋体" w:cs="宋体"/>
          <w:b/>
          <w:bCs/>
          <w:i/>
          <w:iCs/>
          <w:color w:val="000000" w:themeColor="text1"/>
          <w:sz w:val="24"/>
          <w:highlight w:val="none"/>
          <w:u w:val="single"/>
          <w14:textFill>
            <w14:solidFill>
              <w14:schemeClr w14:val="tx1"/>
            </w14:solidFill>
          </w14:textFill>
        </w:rPr>
        <w:t xml:space="preserve">斜体且有下划线内容</w:t>
      </w:r>
      <w:r>
        <w:rPr>
          <w:rFonts w:hint="eastAsia" w:ascii="宋体" w:hAnsi="宋体" w:cs="宋体"/>
          <w:b/>
          <w:bCs/>
          <w:color w:val="000000" w:themeColor="text1"/>
          <w:sz w:val="24"/>
          <w:highlight w:val="none"/>
          <w14:textFill>
            <w14:solidFill>
              <w14:schemeClr w14:val="tx1"/>
            </w14:solidFill>
          </w14:textFill>
        </w:rPr>
        <w:t xml:space="preserve">或标★的实质性要求除外</w:t>
      </w:r>
      <w:r>
        <w:rPr>
          <w:rFonts w:hint="eastAsia" w:ascii="宋体" w:hAnsi="宋体" w:cs="宋体"/>
          <w:color w:val="000000" w:themeColor="text1"/>
          <w:sz w:val="24"/>
          <w:highlight w:val="none"/>
          <w14:textFill>
            <w14:solidFill>
              <w14:schemeClr w14:val="tx1"/>
            </w14:solidFill>
          </w14:textFill>
        </w:rPr>
        <w:t xml:space="preserve">）做出响应；如有无法响应的要求，则须在本表中明确填报，如有缺漏项，则视为投标人承诺响应缺漏项的相关要求；</w:t>
      </w:r>
      <w:r/>
    </w:p>
    <w:p>
      <w:pPr>
        <w:numPr>
          <w:ilvl w:val="0"/>
          <w:numId w:val="2"/>
        </w:numPr>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如招标文件要求提供相应证明材料的，需将证明材料按顺序列于本表之下；</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bookmarkEnd w:id="860"/>
      <w:r/>
    </w:p>
    <w:p>
      <w:pPr>
        <w:pStyle w:val="972"/>
        <w:ind w:firstLine="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rPr>
          <w:rFonts w:hint="eastAsia" w:ascii="宋体" w:hAnsi="宋体" w:cs="宋体"/>
          <w:color w:val="000000" w:themeColor="text1"/>
          <w:sz w:val="24"/>
          <w:szCs w:val="24"/>
          <w:highlight w:val="none"/>
          <w14:textFill>
            <w14:solidFill>
              <w14:schemeClr w14:val="tx1"/>
            </w14:solidFill>
          </w14:textFill>
        </w:rPr>
        <w:t xml:space="preserve">附件：</w:t>
      </w:r>
      <w:r/>
    </w:p>
    <w:p>
      <w:pPr>
        <w:pStyle w:val="846"/>
        <w:spacing w:before="286" w:after="143" w:line="360" w:lineRule="auto"/>
        <w:rPr>
          <w:rFonts w:ascii="宋体" w:hAnsi="宋体" w:eastAsia="宋体" w:cs="宋体"/>
          <w:color w:val="000000" w:themeColor="text1"/>
          <w:sz w:val="28"/>
          <w:szCs w:val="28"/>
          <w:highlight w:val="none"/>
          <w:lang w:eastAsia="zh-CN"/>
          <w14:textFill>
            <w14:solidFill>
              <w14:schemeClr w14:val="tx1"/>
            </w14:solidFill>
          </w14:textFill>
        </w:rPr>
      </w:pPr>
      <w:r/>
      <w:bookmarkStart w:id="861" w:name="_Toc226127011"/>
      <w:r>
        <w:rPr>
          <w:rFonts w:hint="eastAsia" w:ascii="宋体" w:hAnsi="宋体" w:eastAsia="宋体" w:cs="宋体"/>
          <w:color w:val="000000" w:themeColor="text1"/>
          <w:sz w:val="28"/>
          <w:szCs w:val="28"/>
          <w:highlight w:val="none"/>
          <w:lang w:eastAsia="zh-CN"/>
          <w14:textFill>
            <w14:solidFill>
              <w14:schemeClr w14:val="tx1"/>
            </w14:solidFill>
          </w14:textFill>
        </w:rPr>
        <w:t xml:space="preserve">符合性审查响应对照表</w:t>
      </w:r>
      <w:bookmarkEnd w:id="861"/>
      <w:r/>
      <w:r/>
    </w:p>
    <w:tbl>
      <w:tblPr>
        <w:tblStyle w:val="67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序号</w:t>
            </w:r>
            <w:r/>
          </w:p>
        </w:tc>
        <w:tc>
          <w:tcPr>
            <w:tcW w:w="6526" w:type="dxa"/>
            <w:vAlign w:val="center"/>
            <w:textDirection w:val="lrTb"/>
            <w:noWrap w:val="false"/>
          </w:tcPr>
          <w:p>
            <w:pPr>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实质性要求</w:t>
            </w:r>
            <w:r/>
          </w:p>
        </w:tc>
        <w:tc>
          <w:tcPr>
            <w:tcW w:w="709" w:type="dxa"/>
            <w:vAlign w:val="center"/>
            <w:textDirection w:val="lrTb"/>
            <w:noWrap w:val="false"/>
          </w:tcPr>
          <w:p>
            <w:pPr>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是否响应</w:t>
            </w:r>
            <w:r/>
          </w:p>
        </w:tc>
        <w:tc>
          <w:tcPr>
            <w:tcW w:w="1417" w:type="dxa"/>
            <w:vAlign w:val="center"/>
            <w:textDirection w:val="lrTb"/>
            <w:noWrap w:val="false"/>
          </w:tcPr>
          <w:p>
            <w:pPr>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备注</w:t>
            </w:r>
            <w:r/>
          </w:p>
        </w:tc>
      </w:tr>
      <w:tr>
        <w:trPr>
          <w:cantSplit/>
          <w:trHeight w:val="680"/>
        </w:trPr>
        <w:tc>
          <w:tcPr>
            <w:tcW w:w="56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6526"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709"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1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trHeight w:val="680"/>
        </w:trPr>
        <w:tc>
          <w:tcPr>
            <w:tcW w:w="56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6526"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709"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17"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trHeight w:val="680"/>
        </w:trPr>
        <w:tc>
          <w:tcPr>
            <w:tcW w:w="56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6526"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709"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17"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trHeight w:val="680"/>
        </w:trPr>
        <w:tc>
          <w:tcPr>
            <w:tcW w:w="56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6526"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709"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17"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trHeight w:val="680"/>
        </w:trPr>
        <w:tc>
          <w:tcPr>
            <w:tcW w:w="56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6526"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709"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17"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jc w:val="left"/>
        <w:spacing w:line="30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附件（如有证明材料）：……</w:t>
      </w:r>
      <w:r/>
    </w:p>
    <w:p>
      <w:pP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jc w:val="left"/>
        <w:spacing w:after="57" w:line="30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w:t>
      </w:r>
      <w:r/>
    </w:p>
    <w:p>
      <w:pPr>
        <w:numPr>
          <w:ilvl w:val="0"/>
          <w:numId w:val="3"/>
        </w:numPr>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投标人必须响应本招标文件“第三章 项目需求”中的实质性要求（</w:t>
      </w:r>
      <w:r>
        <w:rPr>
          <w:rFonts w:hint="eastAsia" w:ascii="宋体" w:hAnsi="宋体" w:cs="宋体"/>
          <w:b/>
          <w:bCs/>
          <w:color w:val="000000" w:themeColor="text1"/>
          <w:sz w:val="24"/>
          <w:highlight w:val="none"/>
          <w14:textFill>
            <w14:solidFill>
              <w14:schemeClr w14:val="tx1"/>
            </w14:solidFill>
          </w14:textFill>
        </w:rPr>
        <w:t xml:space="preserve">即“</w:t>
      </w:r>
      <w:r>
        <w:rPr>
          <w:rFonts w:hint="eastAsia" w:ascii="宋体" w:hAnsi="宋体" w:cs="宋体"/>
          <w:b/>
          <w:bCs/>
          <w:i/>
          <w:iCs/>
          <w:color w:val="000000" w:themeColor="text1"/>
          <w:sz w:val="24"/>
          <w:highlight w:val="none"/>
          <w:u w:val="single"/>
          <w14:textFill>
            <w14:solidFill>
              <w14:schemeClr w14:val="tx1"/>
            </w14:solidFill>
          </w14:textFill>
        </w:rPr>
        <w:t xml:space="preserve">斜体且有下划线内容</w:t>
      </w:r>
      <w:r>
        <w:rPr>
          <w:rFonts w:hint="eastAsia" w:ascii="宋体" w:hAnsi="宋体" w:cs="宋体"/>
          <w:b/>
          <w:bCs/>
          <w:color w:val="000000" w:themeColor="text1"/>
          <w:sz w:val="24"/>
          <w:highlight w:val="none"/>
          <w14:textFill>
            <w14:solidFill>
              <w14:schemeClr w14:val="tx1"/>
            </w14:solidFill>
          </w14:textFill>
        </w:rPr>
        <w:t xml:space="preserve">或标★内容”</w:t>
      </w:r>
      <w:r>
        <w:rPr>
          <w:rFonts w:hint="eastAsia" w:ascii="宋体" w:hAnsi="宋体" w:cs="宋体"/>
          <w:color w:val="000000" w:themeColor="text1"/>
          <w:sz w:val="24"/>
          <w:highlight w:val="none"/>
          <w14:textFill>
            <w14:solidFill>
              <w14:schemeClr w14:val="tx1"/>
            </w14:solidFill>
          </w14:textFill>
        </w:rPr>
        <w:t xml:space="preserve">）。如有无法响应的要求，则须在本表中明确填报，如有缺漏项，则视为投标人承诺响应缺漏项的相关要求；</w:t>
      </w:r>
      <w:r/>
    </w:p>
    <w:p>
      <w:pPr>
        <w:numPr>
          <w:ilvl w:val="0"/>
          <w:numId w:val="3"/>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如招标文件要求提供相关证明材料的，需将证明材料按顺序列于本表之下；</w:t>
      </w:r>
      <w:r/>
    </w:p>
    <w:p>
      <w:pPr>
        <w:numPr>
          <w:ilvl w:val="0"/>
          <w:numId w:val="3"/>
        </w:numPr>
        <w:jc w:val="left"/>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如投标人有任意一项实质性要求无法响应的，或未按招标文件要求提供相关证明材料的，将作无效投标处理。</w:t>
      </w:r>
      <w:r/>
    </w:p>
    <w:p>
      <w:pPr>
        <w:numPr>
          <w:ilvl w:val="0"/>
          <w:numId w:val="3"/>
        </w:numPr>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如本招标文件“第三章 项目需求”中无实质性要求，则无需填列本表。</w:t>
      </w:r>
      <w:r/>
    </w:p>
    <w:p>
      <w:pPr>
        <w:jc w:val="left"/>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left="288" w:hanging="288"/>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left="384" w:hanging="384"/>
        <w:spacing w:line="360" w:lineRule="auto"/>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pStyle w:val="972"/>
        <w:ind w:firstLine="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rPr>
          <w:rFonts w:hint="eastAsia" w:ascii="宋体" w:hAnsi="宋体" w:cs="宋体"/>
          <w:color w:val="000000" w:themeColor="text1"/>
          <w:sz w:val="24"/>
          <w:szCs w:val="24"/>
          <w:highlight w:val="none"/>
          <w14:textFill>
            <w14:solidFill>
              <w14:schemeClr w14:val="tx1"/>
            </w14:solidFill>
          </w14:textFill>
        </w:rPr>
        <w:t xml:space="preserve">附件：</w:t>
      </w:r>
      <w:r/>
    </w:p>
    <w:p>
      <w:pPr>
        <w:pStyle w:val="972"/>
        <w:ind w:firstLine="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46"/>
        <w:spacing w:before="286" w:after="143" w:line="360" w:lineRule="auto"/>
        <w:rPr>
          <w:rFonts w:ascii="宋体" w:hAnsi="宋体" w:eastAsia="宋体" w:cs="宋体"/>
          <w:color w:val="000000" w:themeColor="text1"/>
          <w:sz w:val="28"/>
          <w:szCs w:val="28"/>
          <w:highlight w:val="none"/>
          <w:lang w:eastAsia="zh-CN"/>
          <w14:textFill>
            <w14:solidFill>
              <w14:schemeClr w14:val="tx1"/>
            </w14:solidFill>
          </w14:textFill>
        </w:rPr>
      </w:pPr>
      <w:r/>
      <w:bookmarkStart w:id="862" w:name="_Toc226127012"/>
      <w:r/>
      <w:bookmarkStart w:id="863" w:name="OLE_LINK34"/>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具备履行合同所必需的设备和专业技术能力的书面声明</w:t>
      </w:r>
      <w:bookmarkEnd w:id="862"/>
      <w:r/>
      <w:r/>
    </w:p>
    <w:p>
      <w:pPr>
        <w:ind w:firstLine="480"/>
        <w:spacing w:before="57"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80"/>
        <w:spacing w:before="57"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主要设备有：******</w:t>
      </w:r>
      <w:r/>
    </w:p>
    <w:p>
      <w:pPr>
        <w:ind w:firstLine="480"/>
        <w:spacing w:before="57"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主要专业技术能力有：****** </w:t>
      </w:r>
      <w:bookmarkEnd w:id="863"/>
      <w:r/>
    </w:p>
    <w:p>
      <w:pPr>
        <w:ind w:firstLine="480"/>
        <w:spacing w:before="143"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ind w:firstLine="480"/>
        <w:spacing w:before="143"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ind w:firstLine="480"/>
        <w:spacing w:before="143"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ind w:firstLine="480"/>
        <w:spacing w:before="143" w:line="400" w:lineRule="exact"/>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ind w:firstLine="480"/>
        <w:spacing w:before="143"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w:t>
      </w:r>
      <w:r/>
    </w:p>
    <w:p>
      <w:pPr>
        <w:jc w:val="left"/>
        <w:widowControl/>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rPr>
          <w:rFonts w:hint="eastAsia" w:ascii="宋体" w:hAnsi="宋体" w:cs="宋体"/>
          <w:color w:val="000000" w:themeColor="text1"/>
          <w:sz w:val="24"/>
          <w:highlight w:val="none"/>
          <w14:textFill>
            <w14:solidFill>
              <w14:schemeClr w14:val="tx1"/>
            </w14:solidFill>
          </w14:textFill>
        </w:rPr>
        <w:t xml:space="preserve">附件：</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46"/>
        <w:spacing w:before="286" w:after="143" w:line="360" w:lineRule="auto"/>
        <w:rPr>
          <w:rFonts w:ascii="宋体" w:hAnsi="宋体" w:eastAsia="宋体" w:cs="宋体"/>
          <w:color w:val="000000" w:themeColor="text1"/>
          <w:sz w:val="28"/>
          <w:szCs w:val="28"/>
          <w:highlight w:val="none"/>
          <w:lang w:eastAsia="zh-CN"/>
          <w14:textFill>
            <w14:solidFill>
              <w14:schemeClr w14:val="tx1"/>
            </w14:solidFill>
          </w14:textFill>
        </w:rPr>
      </w:pPr>
      <w:r/>
      <w:bookmarkStart w:id="864" w:name="_Toc226127013"/>
      <w:r/>
      <w:bookmarkStart w:id="865" w:name="OLE_LINK35"/>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参加本次政府采购活动前3年内在经营活动中没有重大违法记录的书面声明</w:t>
      </w:r>
      <w:bookmarkEnd w:id="864"/>
      <w:r/>
      <w:r/>
    </w:p>
    <w:p>
      <w:pPr>
        <w:ind w:firstLine="480"/>
        <w:spacing w:before="57" w:line="48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ind w:firstLine="480"/>
        <w:spacing w:before="57" w:line="48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bookmarkEnd w:id="865"/>
      <w:r/>
    </w:p>
    <w:p>
      <w:pPr>
        <w:ind w:firstLine="480"/>
        <w:spacing w:before="57"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ind w:firstLine="480"/>
        <w:spacing w:before="57"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ind w:firstLine="480"/>
        <w:spacing w:before="57"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972"/>
        <w:ind w:firstLine="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rPr>
          <w:rFonts w:hint="eastAsia" w:ascii="宋体" w:hAnsi="宋体" w:cs="宋体"/>
          <w:color w:val="000000" w:themeColor="text1"/>
          <w:sz w:val="24"/>
          <w:szCs w:val="24"/>
          <w:highlight w:val="none"/>
          <w14:textFill>
            <w14:solidFill>
              <w14:schemeClr w14:val="tx1"/>
            </w14:solidFill>
          </w14:textFill>
        </w:rPr>
        <w:t xml:space="preserve">附件：</w:t>
      </w:r>
      <w:r/>
    </w:p>
    <w:p>
      <w:pPr>
        <w:pStyle w:val="846"/>
        <w:spacing w:before="286" w:after="143" w:line="360" w:lineRule="auto"/>
        <w:rPr>
          <w:rFonts w:ascii="宋体" w:hAnsi="宋体" w:eastAsia="宋体" w:cs="宋体"/>
          <w:color w:val="000000" w:themeColor="text1"/>
          <w:sz w:val="28"/>
          <w:szCs w:val="28"/>
          <w:highlight w:val="none"/>
          <w:lang w:eastAsia="zh-CN"/>
          <w14:textFill>
            <w14:solidFill>
              <w14:schemeClr w14:val="tx1"/>
            </w14:solidFill>
          </w14:textFill>
        </w:rPr>
      </w:pPr>
      <w:r/>
      <w:bookmarkStart w:id="866" w:name="_Toc226127014"/>
      <w:r/>
      <w:bookmarkStart w:id="867" w:name="OLE_LINK33"/>
      <w:r>
        <w:rPr>
          <w:rFonts w:hint="eastAsia" w:ascii="宋体" w:hAnsi="宋体" w:eastAsia="宋体" w:cs="宋体"/>
          <w:color w:val="000000" w:themeColor="text1"/>
          <w:sz w:val="28"/>
          <w:szCs w:val="28"/>
          <w:highlight w:val="none"/>
          <w:lang w:eastAsia="zh-CN"/>
          <w14:textFill>
            <w14:solidFill>
              <w14:schemeClr w14:val="tx1"/>
            </w14:solidFill>
          </w14:textFill>
        </w:rPr>
        <w:t xml:space="preserve">法人授权书</w:t>
      </w:r>
      <w:bookmarkEnd w:id="866"/>
      <w:r/>
      <w:r/>
    </w:p>
    <w:p>
      <w:pPr>
        <w:pStyle w:val="938"/>
        <w:ind w:firstLine="480"/>
        <w:spacing w:before="85" w:line="360" w:lineRule="auto"/>
        <w:rPr>
          <w:rFonts w:ascii="宋体" w:hAnsi="宋体" w:cs="宋体"/>
          <w:color w:val="000000" w:themeColor="text1"/>
          <w:highlight w:val="none"/>
          <w:u w:val="none"/>
          <w14:textFill>
            <w14:solidFill>
              <w14:schemeClr w14:val="tx1"/>
            </w14:solidFill>
          </w14:textFill>
        </w:rPr>
      </w:pPr>
      <w:r>
        <w:rPr>
          <w:rFonts w:hint="eastAsia" w:ascii="宋体" w:hAnsi="宋体" w:cs="宋体"/>
          <w:color w:val="000000" w:themeColor="text1"/>
          <w:highlight w:val="none"/>
          <w:u w:val="none"/>
          <w14:textFill>
            <w14:solidFill>
              <w14:schemeClr w14:val="tx1"/>
            </w14:solidFill>
          </w14:textFill>
        </w:rPr>
        <w:t xml:space="preserve">本授权书声明：</w:t>
      </w:r>
      <w:r>
        <w:rPr>
          <w:rFonts w:hint="eastAsia" w:ascii="宋体" w:hAnsi="宋体" w:cs="宋体"/>
          <w:color w:val="000000" w:themeColor="text1"/>
          <w:highlight w:val="none"/>
          <w14:textFill>
            <w14:solidFill>
              <w14:schemeClr w14:val="tx1"/>
            </w14:solidFill>
          </w14:textFill>
        </w:rPr>
        <w:t xml:space="preserve">   [投标人全称]   </w:t>
      </w:r>
      <w:r>
        <w:rPr>
          <w:rFonts w:hint="eastAsia" w:ascii="宋体" w:hAnsi="宋体" w:cs="宋体"/>
          <w:color w:val="000000" w:themeColor="text1"/>
          <w:highlight w:val="none"/>
          <w:u w:val="none"/>
          <w14:textFill>
            <w14:solidFill>
              <w14:schemeClr w14:val="tx1"/>
            </w14:solidFill>
          </w14:textFill>
        </w:rPr>
        <w:t xml:space="preserve">授权__</w:t>
      </w:r>
      <w:r>
        <w:rPr>
          <w:rFonts w:hint="eastAsia" w:ascii="宋体" w:hAnsi="宋体" w:cs="宋体"/>
          <w:color w:val="000000" w:themeColor="text1"/>
          <w:highlight w:val="none"/>
          <w14:textFill>
            <w14:solidFill>
              <w14:schemeClr w14:val="tx1"/>
            </w14:solidFill>
          </w14:textFill>
        </w:rPr>
        <w:t xml:space="preserve">[被授权人的姓名]  </w:t>
      </w:r>
      <w:r>
        <w:rPr>
          <w:rFonts w:hint="eastAsia" w:ascii="宋体" w:hAnsi="宋体" w:cs="宋体"/>
          <w:color w:val="000000" w:themeColor="text1"/>
          <w:highlight w:val="none"/>
          <w:u w:val="none"/>
          <w14:textFill>
            <w14:solidFill>
              <w14:schemeClr w14:val="tx1"/>
            </w14:solidFill>
          </w14:textFill>
        </w:rPr>
        <w:t xml:space="preserve">为我方就</w:t>
      </w:r>
      <w:r>
        <w:rPr>
          <w:rFonts w:hint="eastAsia" w:ascii="宋体" w:hAnsi="宋体" w:cs="宋体"/>
          <w:color w:val="000000" w:themeColor="text1"/>
          <w:highlight w:val="none"/>
          <w14:textFill>
            <w14:solidFill>
              <w14:schemeClr w14:val="tx1"/>
            </w14:solidFill>
          </w14:textFill>
        </w:rPr>
        <w:t xml:space="preserve">  [项目名称] [项目编号]  采购</w:t>
      </w:r>
      <w:r>
        <w:rPr>
          <w:rFonts w:hint="eastAsia" w:ascii="宋体" w:hAnsi="宋体" w:cs="宋体"/>
          <w:color w:val="000000" w:themeColor="text1"/>
          <w:highlight w:val="none"/>
          <w:u w:val="none"/>
          <w14:textFill>
            <w14:solidFill>
              <w14:schemeClr w14:val="tx1"/>
            </w14:solidFill>
          </w14:textFill>
        </w:rPr>
        <w:t xml:space="preserve">项目采购活动的合法代理人，以本单位名义全权处理一切与该项目采购有关的事务。</w:t>
      </w:r>
      <w:r/>
    </w:p>
    <w:p>
      <w:pPr>
        <w:pStyle w:val="938"/>
        <w:ind w:firstLine="480"/>
        <w:spacing w:before="85" w:line="360" w:lineRule="auto"/>
        <w:rPr>
          <w:rFonts w:ascii="宋体" w:hAnsi="宋体" w:cs="宋体"/>
          <w:color w:val="000000" w:themeColor="text1"/>
          <w:highlight w:val="none"/>
          <w:u w:val="none"/>
          <w14:textFill>
            <w14:solidFill>
              <w14:schemeClr w14:val="tx1"/>
            </w14:solidFill>
          </w14:textFill>
        </w:rPr>
      </w:pPr>
      <w:r>
        <w:rPr>
          <w:rFonts w:hint="eastAsia" w:ascii="宋体" w:hAnsi="宋体" w:cs="宋体"/>
          <w:color w:val="000000" w:themeColor="text1"/>
          <w:highlight w:val="none"/>
          <w:u w:val="none"/>
          <w14:textFill>
            <w14:solidFill>
              <w14:schemeClr w14:val="tx1"/>
            </w14:solidFill>
          </w14:textFill>
        </w:rPr>
        <w:t xml:space="preserve">本授权书于______年____月____日起生效，特此声明。</w:t>
      </w:r>
      <w:r/>
    </w:p>
    <w:p>
      <w:pPr>
        <w:pStyle w:val="938"/>
        <w:ind w:firstLine="482"/>
        <w:spacing w:before="85" w:line="360" w:lineRule="auto"/>
        <w:rPr>
          <w:rFonts w:ascii="宋体" w:hAnsi="宋体" w:cs="宋体"/>
          <w:b/>
          <w:bCs/>
          <w:color w:val="000000" w:themeColor="text1"/>
          <w:sz w:val="32"/>
          <w:szCs w:val="32"/>
          <w:highlight w:val="none"/>
          <w:u w:val="none"/>
          <w14:textFill>
            <w14:solidFill>
              <w14:schemeClr w14:val="tx1"/>
            </w14:solidFill>
          </w14:textFill>
        </w:rPr>
      </w:pPr>
      <w:r>
        <w:rPr>
          <w:rFonts w:hint="eastAsia" w:ascii="宋体" w:hAnsi="宋体" w:cs="宋体"/>
          <w:b/>
          <w:bCs/>
          <w:color w:val="000000" w:themeColor="text1"/>
          <w:highlight w:val="none"/>
          <w:u w:val="none"/>
          <w14:textFill>
            <w14:solidFill>
              <w14:schemeClr w14:val="tx1"/>
            </w14:solidFill>
          </w14:textFill>
        </w:rPr>
        <w:t xml:space="preserve">附：法定代表人和被授权人的身份证复印件；</w:t>
      </w:r>
      <w:r/>
    </w:p>
    <w:p>
      <w:pPr>
        <w:pStyle w:val="938"/>
        <w:spacing w:before="85"/>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38"/>
        <w:ind w:firstLine="0"/>
        <w:jc w:val="both"/>
        <w:spacing w:before="85"/>
        <w:tabs>
          <w:tab w:val="clear" w:pos="360" w:leader="none"/>
        </w:tabs>
        <w:rPr>
          <w:rFonts w:ascii="宋体" w:hAnsi="宋体" w:cs="宋体"/>
          <w:color w:val="000000" w:themeColor="text1"/>
          <w:szCs w:val="20"/>
          <w:highlight w:val="none"/>
          <w:u w:val="none"/>
          <w14:textFill>
            <w14:solidFill>
              <w14:schemeClr w14:val="tx1"/>
            </w14:solidFill>
          </w14:textFill>
        </w:rPr>
      </w:pPr>
      <w:r>
        <w:rPr>
          <w:rFonts w:ascii="宋体" w:hAnsi="宋体" w:cs="宋体"/>
          <w:color w:val="000000" w:themeColor="text1"/>
          <w:szCs w:val="20"/>
          <w:highlight w:val="none"/>
          <w:u w:val="none"/>
          <w14:textFill>
            <w14:solidFill>
              <w14:schemeClr w14:val="tx1"/>
            </w14:solidFill>
          </w14:textFill>
        </w:rPr>
      </w:r>
      <w:r/>
    </w:p>
    <w:p>
      <w:pPr>
        <w:pStyle w:val="938"/>
        <w:ind w:firstLine="0"/>
        <w:jc w:val="both"/>
        <w:spacing w:before="85"/>
        <w:tabs>
          <w:tab w:val="clear" w:pos="360" w:leader="none"/>
        </w:tabs>
        <w:rPr>
          <w:rFonts w:ascii="宋体" w:hAnsi="宋体" w:cs="宋体"/>
          <w:color w:val="000000" w:themeColor="text1"/>
          <w:szCs w:val="20"/>
          <w:highlight w:val="none"/>
          <w:u w:val="none"/>
          <w14:textFill>
            <w14:solidFill>
              <w14:schemeClr w14:val="tx1"/>
            </w14:solidFill>
          </w14:textFill>
        </w:rPr>
      </w:pPr>
      <w:r>
        <w:rPr>
          <w:rFonts w:ascii="宋体" w:hAnsi="宋体" w:cs="宋体"/>
          <w:color w:val="000000" w:themeColor="text1"/>
          <w:szCs w:val="20"/>
          <w:highlight w:val="none"/>
          <w:u w:val="none"/>
          <w14:textFill>
            <w14:solidFill>
              <w14:schemeClr w14:val="tx1"/>
            </w14:solidFill>
          </w14:textFill>
        </w:rPr>
      </w:r>
      <w:r/>
    </w:p>
    <w:p>
      <w:pPr>
        <w:pStyle w:val="938"/>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u w:val="none"/>
          <w14:textFill>
            <w14:solidFill>
              <w14:schemeClr w14:val="tx1"/>
            </w14:solidFill>
          </w14:textFill>
        </w:rPr>
        <w:t xml:space="preserve">授权单位名称：</w:t>
      </w:r>
      <w:r/>
    </w:p>
    <w:p>
      <w:pPr>
        <w:pStyle w:val="938"/>
        <w:ind w:firstLine="480"/>
        <w:jc w:val="both"/>
        <w:spacing w:line="360" w:lineRule="auto"/>
        <w:rPr>
          <w:rFonts w:ascii="宋体" w:hAnsi="宋体" w:cs="宋体"/>
          <w:color w:val="000000" w:themeColor="text1"/>
          <w:highlight w:val="none"/>
          <w:u w:val="none"/>
          <w14:textFill>
            <w14:solidFill>
              <w14:schemeClr w14:val="tx1"/>
            </w14:solidFill>
          </w14:textFill>
        </w:rPr>
      </w:pPr>
      <w:r>
        <w:rPr>
          <w:rFonts w:hint="eastAsia" w:ascii="宋体" w:hAnsi="宋体" w:cs="宋体"/>
          <w:color w:val="000000" w:themeColor="text1"/>
          <w:highlight w:val="none"/>
          <w:u w:val="none"/>
          <w14:textFill>
            <w14:solidFill>
              <w14:schemeClr w14:val="tx1"/>
            </w14:solidFill>
          </w14:textFill>
        </w:rPr>
        <w:t xml:space="preserve">被授权人联系电话（手机）：</w:t>
      </w:r>
      <w:r/>
    </w:p>
    <w:p>
      <w:pPr>
        <w:pStyle w:val="938"/>
        <w:ind w:firstLine="480"/>
        <w:jc w:val="both"/>
        <w:spacing w:line="360" w:lineRule="auto"/>
        <w:rPr>
          <w:rFonts w:ascii="宋体" w:hAnsi="宋体" w:cs="宋体"/>
          <w:color w:val="000000" w:themeColor="text1"/>
          <w:highlight w:val="none"/>
          <w:u w:val="none"/>
          <w14:textFill>
            <w14:solidFill>
              <w14:schemeClr w14:val="tx1"/>
            </w14:solidFill>
          </w14:textFill>
        </w:rPr>
      </w:pPr>
      <w:r>
        <w:rPr>
          <w:rFonts w:hint="eastAsia" w:ascii="宋体" w:hAnsi="宋体" w:cs="宋体"/>
          <w:color w:val="000000" w:themeColor="text1"/>
          <w:highlight w:val="none"/>
          <w:u w:val="none"/>
          <w14:textFill>
            <w14:solidFill>
              <w14:schemeClr w14:val="tx1"/>
            </w14:solidFill>
          </w14:textFill>
        </w:rPr>
        <w:t xml:space="preserve">被授权人联系邮箱：</w:t>
      </w:r>
      <w:r/>
    </w:p>
    <w:p>
      <w:pPr>
        <w:pStyle w:val="938"/>
        <w:ind w:firstLine="480"/>
        <w:jc w:val="both"/>
        <w:spacing w:line="360" w:lineRule="auto"/>
        <w:rPr>
          <w:rFonts w:ascii="宋体" w:hAnsi="宋体" w:cs="宋体"/>
          <w:color w:val="000000" w:themeColor="text1"/>
          <w:highlight w:val="none"/>
          <w:u w:val="none"/>
          <w14:textFill>
            <w14:solidFill>
              <w14:schemeClr w14:val="tx1"/>
            </w14:solidFill>
          </w14:textFill>
        </w:rPr>
      </w:pPr>
      <w:r>
        <w:rPr>
          <w:rFonts w:hint="eastAsia" w:ascii="宋体" w:hAnsi="宋体" w:cs="宋体"/>
          <w:color w:val="000000" w:themeColor="text1"/>
          <w:highlight w:val="none"/>
          <w:u w:val="none"/>
          <w14:textFill>
            <w14:solidFill>
              <w14:schemeClr w14:val="tx1"/>
            </w14:solidFill>
          </w14:textFill>
        </w:rPr>
        <w:t xml:space="preserve">通讯地址：</w:t>
      </w:r>
      <w:r/>
    </w:p>
    <w:p>
      <w:pPr>
        <w:pStyle w:val="938"/>
        <w:ind w:firstLine="480"/>
        <w:jc w:val="both"/>
        <w:spacing w:line="360" w:lineRule="auto"/>
        <w:rPr>
          <w:rFonts w:ascii="宋体" w:hAnsi="宋体" w:cs="宋体"/>
          <w:color w:val="000000" w:themeColor="text1"/>
          <w:highlight w:val="none"/>
          <w:u w:val="none"/>
          <w14:textFill>
            <w14:solidFill>
              <w14:schemeClr w14:val="tx1"/>
            </w14:solidFill>
          </w14:textFill>
        </w:rPr>
      </w:pPr>
      <w:r>
        <w:rPr>
          <w:rFonts w:hint="eastAsia" w:ascii="宋体" w:hAnsi="宋体" w:cs="宋体"/>
          <w:color w:val="000000" w:themeColor="text1"/>
          <w:highlight w:val="none"/>
          <w:u w:val="none"/>
          <w14:textFill>
            <w14:solidFill>
              <w14:schemeClr w14:val="tx1"/>
            </w14:solidFill>
          </w14:textFill>
        </w:rPr>
        <w:t xml:space="preserve">日期：   年   月   日</w:t>
      </w:r>
      <w:r/>
    </w:p>
    <w:p>
      <w:pPr>
        <w:jc w:val="left"/>
        <w:widowControl/>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pStyle w:val="972"/>
        <w:ind w:firstLine="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867"/>
      <w:r>
        <w:rPr>
          <w:rFonts w:hint="eastAsia" w:ascii="宋体" w:hAnsi="宋体" w:cs="宋体"/>
          <w:color w:val="000000" w:themeColor="text1"/>
          <w:sz w:val="24"/>
          <w:szCs w:val="24"/>
          <w:highlight w:val="none"/>
          <w14:textFill>
            <w14:solidFill>
              <w14:schemeClr w14:val="tx1"/>
            </w14:solidFill>
          </w14:textFill>
        </w:rPr>
        <w:t xml:space="preserve">附件：</w:t>
      </w:r>
      <w:r/>
    </w:p>
    <w:p>
      <w:pPr>
        <w:pStyle w:val="972"/>
        <w:ind w:firstLine="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46"/>
        <w:spacing w:before="286" w:after="143" w:line="360" w:lineRule="auto"/>
        <w:rPr>
          <w:rFonts w:ascii="宋体" w:hAnsi="宋体" w:eastAsia="宋体" w:cs="宋体"/>
          <w:color w:val="000000" w:themeColor="text1"/>
          <w:sz w:val="28"/>
          <w:szCs w:val="28"/>
          <w:highlight w:val="none"/>
          <w:lang w:eastAsia="zh-CN"/>
          <w14:textFill>
            <w14:solidFill>
              <w14:schemeClr w14:val="tx1"/>
            </w14:solidFill>
          </w14:textFill>
        </w:rPr>
      </w:pPr>
      <w:r/>
      <w:bookmarkStart w:id="868" w:name="_Toc226127015"/>
      <w:r>
        <w:rPr>
          <w:rFonts w:hint="eastAsia" w:ascii="宋体" w:hAnsi="宋体" w:eastAsia="宋体" w:cs="宋体"/>
          <w:color w:val="000000" w:themeColor="text1"/>
          <w:sz w:val="28"/>
          <w:szCs w:val="28"/>
          <w:highlight w:val="none"/>
          <w:lang w:eastAsia="zh-CN"/>
          <w14:textFill>
            <w14:solidFill>
              <w14:schemeClr w14:val="tx1"/>
            </w14:solidFill>
          </w14:textFill>
        </w:rPr>
        <w:t xml:space="preserve">投标函</w:t>
      </w:r>
      <w:bookmarkEnd w:id="868"/>
      <w:r/>
      <w:r/>
    </w:p>
    <w:p>
      <w:pPr>
        <w:spacing w:before="57" w:after="143"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w:t>
      </w:r>
      <w:r>
        <w:rPr>
          <w:rFonts w:hint="eastAsia" w:ascii="宋体" w:hAnsi="宋体" w:cs="宋体"/>
          <w:color w:val="000000" w:themeColor="text1"/>
          <w:sz w:val="24"/>
          <w:highlight w:val="none"/>
          <w:u w:val="single"/>
          <w14:textFill>
            <w14:solidFill>
              <w14:schemeClr w14:val="tx1"/>
            </w14:solidFill>
          </w14:textFill>
        </w:rPr>
        <w:t xml:space="preserve">   [采购人单位全称]   </w:t>
      </w:r>
      <w:r>
        <w:rPr>
          <w:rFonts w:hint="eastAsia" w:ascii="宋体" w:hAnsi="宋体" w:cs="宋体"/>
          <w:color w:val="000000" w:themeColor="text1"/>
          <w:sz w:val="24"/>
          <w:highlight w:val="none"/>
          <w14:textFill>
            <w14:solidFill>
              <w14:schemeClr w14:val="tx1"/>
            </w14:solidFill>
          </w14:textFill>
        </w:rPr>
        <w:t xml:space="preserve">，江苏建威建设管理有限公司</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根据贵方的</w:t>
      </w:r>
      <w:r>
        <w:rPr>
          <w:rFonts w:hint="eastAsia" w:ascii="宋体" w:hAnsi="宋体" w:cs="宋体"/>
          <w:color w:val="000000" w:themeColor="text1"/>
          <w:sz w:val="24"/>
          <w:highlight w:val="none"/>
          <w:u w:val="single"/>
          <w14:textFill>
            <w14:solidFill>
              <w14:schemeClr w14:val="tx1"/>
            </w14:solidFill>
          </w14:textFill>
        </w:rPr>
        <w:t xml:space="preserve"> [项目名称]  [项目编号]   </w:t>
      </w:r>
      <w:r>
        <w:rPr>
          <w:rFonts w:hint="eastAsia" w:ascii="宋体" w:hAnsi="宋体" w:cs="宋体"/>
          <w:color w:val="000000" w:themeColor="text1"/>
          <w:sz w:val="24"/>
          <w:highlight w:val="none"/>
          <w14:textFill>
            <w14:solidFill>
              <w14:schemeClr w14:val="tx1"/>
            </w14:solidFill>
          </w14:textFill>
        </w:rPr>
        <w:t xml:space="preserve">号招标文件，我方正式授权</w:t>
      </w:r>
      <w:r>
        <w:rPr>
          <w:rFonts w:hint="eastAsia" w:ascii="宋体" w:hAnsi="宋体" w:cs="宋体"/>
          <w:color w:val="000000" w:themeColor="text1"/>
          <w:sz w:val="24"/>
          <w:highlight w:val="none"/>
          <w:u w:val="single"/>
          <w14:textFill>
            <w14:solidFill>
              <w14:schemeClr w14:val="tx1"/>
            </w14:solidFill>
          </w14:textFill>
        </w:rPr>
        <w:t xml:space="preserve"> [被授权人的姓名] </w:t>
      </w:r>
      <w:r>
        <w:rPr>
          <w:rFonts w:hint="eastAsia" w:ascii="宋体" w:hAnsi="宋体" w:cs="宋体"/>
          <w:color w:val="000000" w:themeColor="text1"/>
          <w:sz w:val="24"/>
          <w:highlight w:val="none"/>
          <w14:textFill>
            <w14:solidFill>
              <w14:schemeClr w14:val="tx1"/>
            </w14:solidFill>
          </w14:textFill>
        </w:rPr>
        <w:t xml:space="preserve">代表我方</w:t>
      </w:r>
      <w:r>
        <w:rPr>
          <w:rFonts w:hint="eastAsia" w:ascii="宋体" w:hAnsi="宋体" w:cs="宋体"/>
          <w:color w:val="000000" w:themeColor="text1"/>
          <w:sz w:val="24"/>
          <w:highlight w:val="none"/>
          <w:u w:val="single"/>
          <w14:textFill>
            <w14:solidFill>
              <w14:schemeClr w14:val="tx1"/>
            </w14:solidFill>
          </w14:textFill>
        </w:rPr>
        <w:t xml:space="preserve">   [投标人的名称]  </w:t>
      </w:r>
      <w:r>
        <w:rPr>
          <w:rFonts w:hint="eastAsia" w:ascii="宋体" w:hAnsi="宋体" w:cs="宋体"/>
          <w:color w:val="000000" w:themeColor="text1"/>
          <w:sz w:val="24"/>
          <w:highlight w:val="none"/>
          <w14:textFill>
            <w14:solidFill>
              <w14:schemeClr w14:val="tx1"/>
            </w14:solidFill>
          </w14:textFill>
        </w:rPr>
        <w:t xml:space="preserve">，全权处理本次项目投标的有关事宜，并声明同意如下：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1.我们按招标文件规定的各项要求，向买方提供所需产品。</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2.我们完全理解贵方不一定将合同授予最低报价的投标人。</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4.我们同意从规定的开标日期起遵循本投标文件，并在规定的投标有效期期满之前均具有约束力。</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我们同意从规定的开标日期起遵循本投标文件，并在规定的投标有效期期满之前均具有约束力。</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6.同意向贵方提供贵方可能另外要求的与投标有关的任何证据或资料，并保证我方已提供和将要提供的文件是真实的、准确的。</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7.一旦我方中标,我方将根据招标文件的规定，严格履行合同的责任和义务,并保证在招标文件规定的时间完成项目，交付买方验收、使用。</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8.我们不存在和我单位负责人为同一人，或者和我单位存在直接控股、管理关系的其他供应商，参加本项目同一合同项下的政府采购活动的情形。</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9.我们不是为本项目提供整体设计、规范编制或者项目管理、监理、检测等服务的供应商；</w:t>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72"/>
        <w:ind w:firstLine="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pStyle w:val="972"/>
        <w:ind w:firstLine="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r>
        <w:rPr>
          <w:rFonts w:hint="eastAsia" w:ascii="宋体" w:hAnsi="宋体" w:cs="宋体"/>
          <w:color w:val="000000" w:themeColor="text1"/>
          <w:sz w:val="24"/>
          <w:szCs w:val="24"/>
          <w:highlight w:val="none"/>
          <w14:textFill>
            <w14:solidFill>
              <w14:schemeClr w14:val="tx1"/>
            </w14:solidFill>
          </w14:textFill>
        </w:rPr>
        <w:t xml:space="preserve">附件：</w:t>
      </w:r>
      <w:r/>
    </w:p>
    <w:p>
      <w:pPr>
        <w:pStyle w:val="846"/>
        <w:spacing w:before="286" w:after="143" w:line="360" w:lineRule="auto"/>
        <w:rPr>
          <w:rFonts w:ascii="宋体" w:hAnsi="宋体" w:eastAsia="宋体" w:cs="宋体"/>
          <w:color w:val="000000" w:themeColor="text1"/>
          <w:sz w:val="32"/>
          <w:szCs w:val="32"/>
          <w:highlight w:val="none"/>
          <w:lang w:eastAsia="zh-CN"/>
          <w14:textFill>
            <w14:solidFill>
              <w14:schemeClr w14:val="tx1"/>
            </w14:solidFill>
          </w14:textFill>
        </w:rPr>
      </w:pPr>
      <w:r/>
      <w:bookmarkStart w:id="869" w:name="_Hlk60665956"/>
      <w:r/>
      <w:bookmarkStart w:id="870" w:name="OLE_LINK31"/>
      <w:r>
        <w:rPr>
          <w:rFonts w:hint="eastAsia" w:ascii="宋体" w:hAnsi="宋体" w:eastAsia="宋体" w:cs="宋体"/>
          <w:color w:val="000000" w:themeColor="text1"/>
          <w:sz w:val="32"/>
          <w:szCs w:val="32"/>
          <w:highlight w:val="none"/>
          <w:lang w:eastAsia="zh-CN"/>
          <w14:textFill>
            <w14:solidFill>
              <w14:schemeClr w14:val="tx1"/>
            </w14:solidFill>
          </w14:textFill>
        </w:rPr>
        <w:t xml:space="preserve">中小企业声明函（工程）</w:t>
      </w:r>
      <w:r/>
    </w:p>
    <w:p>
      <w:pPr>
        <w:pStyle w:val="900"/>
        <w:spacing w:line="360" w:lineRule="auto"/>
        <w:rPr>
          <w:rFonts w:ascii="宋体" w:hAnsi="宋体" w:eastAsia="宋体" w:cs="宋体"/>
          <w:color w:val="000000" w:themeColor="text1"/>
          <w:sz w:val="24"/>
          <w:szCs w:val="24"/>
          <w:highlight w:val="none"/>
          <w:lang w:eastAsia="zh-CN"/>
          <w14:textFill>
            <w14:solidFill>
              <w14:schemeClr w14:val="tx1"/>
            </w14:solidFill>
          </w14:textFill>
        </w:rPr>
      </w:pPr>
      <w:r>
        <w:rPr>
          <w:rFonts w:ascii="宋体" w:hAnsi="宋体" w:eastAsia="宋体" w:cs="宋体"/>
          <w:color w:val="000000" w:themeColor="text1"/>
          <w:sz w:val="24"/>
          <w:szCs w:val="24"/>
          <w:highlight w:val="none"/>
          <w:lang w:eastAsia="zh-CN"/>
          <w14:textFill>
            <w14:solidFill>
              <w14:schemeClr w14:val="tx1"/>
            </w14:solidFill>
          </w14:textFill>
        </w:rPr>
      </w:r>
      <w:r/>
    </w:p>
    <w:p>
      <w:pPr>
        <w:pStyle w:val="900"/>
        <w:ind w:firstLine="480"/>
        <w:spacing w:line="360" w:lineRule="auto"/>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本公司郑重声明，根据《政府采购促进中小企业发展管理办法》（财库﹝2020﹞46 号）的规定，本公司（联合体）参加</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[采购人单位名称]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[项目名称]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活动，工程的施工单位全部由符合政策要求的中小企业承建。根据《工业和信息化部、国家统计局、国家发展和改革委员会、财政部关于印发中小企业划型标准规定的通知》(工信部联企业[2011]300号)的规定，相关企业的具体情况如下： </w:t>
      </w:r>
      <w:r/>
    </w:p>
    <w:p>
      <w:pPr>
        <w:pStyle w:val="968"/>
        <w:ind w:firstLine="480"/>
        <w:spacing w:line="360" w:lineRule="auto"/>
        <w:tabs>
          <w:tab w:val="left" w:pos="1184" w:leader="none"/>
          <w:tab w:val="left" w:pos="1384" w:leader="none"/>
          <w:tab w:val="left" w:pos="4562" w:leader="none"/>
          <w:tab w:val="left" w:pos="6803"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u w:val="single"/>
          <w14:textFill>
            <w14:solidFill>
              <w14:schemeClr w14:val="tx1"/>
            </w14:solidFill>
          </w14:textFill>
        </w:rPr>
        <w:t xml:space="preserve">    [标的名称]    </w:t>
      </w:r>
      <w:r>
        <w:rPr>
          <w:rFonts w:hint="eastAsia" w:ascii="宋体" w:hAnsi="宋体" w:cs="宋体"/>
          <w:color w:val="000000" w:themeColor="text1"/>
          <w:sz w:val="24"/>
          <w:szCs w:val="24"/>
          <w:highlight w:val="none"/>
          <w14:textFill>
            <w14:solidFill>
              <w14:schemeClr w14:val="tx1"/>
            </w14:solidFill>
          </w14:textFill>
        </w:rPr>
        <w:t xml:space="preserve"> ，属于</w:t>
      </w:r>
      <w:r>
        <w:rPr>
          <w:rFonts w:hint="eastAsia" w:ascii="宋体" w:hAnsi="宋体" w:cs="宋体"/>
          <w:color w:val="000000" w:themeColor="text1"/>
          <w:sz w:val="24"/>
          <w:szCs w:val="24"/>
          <w:highlight w:val="none"/>
          <w:u w:val="single"/>
          <w14:textFill>
            <w14:solidFill>
              <w14:schemeClr w14:val="tx1"/>
            </w14:solidFill>
          </w14:textFill>
        </w:rPr>
        <w:t xml:space="preserve"> [采购文件中明确的所属行业] </w:t>
      </w:r>
      <w:r>
        <w:rPr>
          <w:rFonts w:hint="eastAsia" w:ascii="宋体" w:hAnsi="宋体" w:cs="宋体"/>
          <w:color w:val="000000" w:themeColor="text1"/>
          <w:sz w:val="24"/>
          <w:szCs w:val="24"/>
          <w:highlight w:val="none"/>
          <w14:textFill>
            <w14:solidFill>
              <w14:schemeClr w14:val="tx1"/>
            </w14:solidFill>
          </w14:textFill>
        </w:rPr>
        <w:t xml:space="preserve">行业；承建企业为</w:t>
      </w:r>
      <w:r>
        <w:rPr>
          <w:rFonts w:hint="eastAsia" w:ascii="宋体" w:hAnsi="宋体" w:cs="宋体"/>
          <w:color w:val="000000" w:themeColor="text1"/>
          <w:sz w:val="24"/>
          <w:szCs w:val="24"/>
          <w:highlight w:val="none"/>
          <w:u w:val="single"/>
          <w14:textFill>
            <w14:solidFill>
              <w14:schemeClr w14:val="tx1"/>
            </w14:solidFill>
          </w14:textFill>
        </w:rPr>
        <w:t xml:space="preserve"> [企业名称] </w:t>
      </w:r>
      <w:r>
        <w:rPr>
          <w:rFonts w:hint="eastAsia" w:ascii="宋体" w:hAnsi="宋体" w:cs="宋体"/>
          <w:color w:val="000000" w:themeColor="text1"/>
          <w:sz w:val="24"/>
          <w:szCs w:val="24"/>
          <w:highlight w:val="none"/>
          <w14:textFill>
            <w14:solidFill>
              <w14:schemeClr w14:val="tx1"/>
            </w14:solidFill>
          </w14:textFill>
        </w:rPr>
        <w:t xml:space="preserve">，从业人员</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人，营业收入为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万元，资产总额为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万元，属于</w:t>
      </w:r>
      <w:r>
        <w:rPr>
          <w:rFonts w:hint="eastAsia" w:ascii="宋体" w:hAnsi="宋体" w:cs="宋体"/>
          <w:color w:val="000000" w:themeColor="text1"/>
          <w:sz w:val="24"/>
          <w:szCs w:val="24"/>
          <w:highlight w:val="none"/>
          <w:u w:val="single"/>
          <w14:textFill>
            <w14:solidFill>
              <w14:schemeClr w14:val="tx1"/>
            </w14:solidFill>
          </w14:textFill>
        </w:rPr>
        <w:t xml:space="preserve"> *中型企业    *小型企业     *微型企业  </w:t>
      </w:r>
      <w:r>
        <w:rPr>
          <w:rFonts w:hint="eastAsia" w:ascii="宋体" w:hAnsi="宋体" w:cs="宋体"/>
          <w:color w:val="000000" w:themeColor="text1"/>
          <w:sz w:val="24"/>
          <w:szCs w:val="24"/>
          <w:highlight w:val="none"/>
          <w14:textFill>
            <w14:solidFill>
              <w14:schemeClr w14:val="tx1"/>
            </w14:solidFill>
          </w14:textFill>
        </w:rPr>
        <w:t xml:space="preserve">；</w:t>
      </w:r>
      <w:r/>
    </w:p>
    <w:p>
      <w:pPr>
        <w:pStyle w:val="968"/>
        <w:ind w:firstLine="480"/>
        <w:spacing w:line="360" w:lineRule="auto"/>
        <w:tabs>
          <w:tab w:val="left" w:pos="1184" w:leader="none"/>
          <w:tab w:val="left" w:pos="1384" w:leader="none"/>
          <w:tab w:val="left" w:pos="4562" w:leader="none"/>
          <w:tab w:val="left" w:pos="6803"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u w:val="single"/>
          <w14:textFill>
            <w14:solidFill>
              <w14:schemeClr w14:val="tx1"/>
            </w14:solidFill>
          </w14:textFill>
        </w:rPr>
        <w:t xml:space="preserve">    [标的名称]    </w:t>
      </w:r>
      <w:r>
        <w:rPr>
          <w:rFonts w:hint="eastAsia" w:ascii="宋体" w:hAnsi="宋体" w:cs="宋体"/>
          <w:color w:val="000000" w:themeColor="text1"/>
          <w:sz w:val="24"/>
          <w:szCs w:val="24"/>
          <w:highlight w:val="none"/>
          <w14:textFill>
            <w14:solidFill>
              <w14:schemeClr w14:val="tx1"/>
            </w14:solidFill>
          </w14:textFill>
        </w:rPr>
        <w:t xml:space="preserve"> ，属于</w:t>
      </w:r>
      <w:r>
        <w:rPr>
          <w:rFonts w:hint="eastAsia" w:ascii="宋体" w:hAnsi="宋体" w:cs="宋体"/>
          <w:color w:val="000000" w:themeColor="text1"/>
          <w:sz w:val="24"/>
          <w:szCs w:val="24"/>
          <w:highlight w:val="none"/>
          <w:u w:val="single"/>
          <w14:textFill>
            <w14:solidFill>
              <w14:schemeClr w14:val="tx1"/>
            </w14:solidFill>
          </w14:textFill>
        </w:rPr>
        <w:t xml:space="preserve"> [采购文件中明确的所属行业] </w:t>
      </w:r>
      <w:r>
        <w:rPr>
          <w:rFonts w:hint="eastAsia" w:ascii="宋体" w:hAnsi="宋体" w:cs="宋体"/>
          <w:color w:val="000000" w:themeColor="text1"/>
          <w:sz w:val="24"/>
          <w:szCs w:val="24"/>
          <w:highlight w:val="none"/>
          <w14:textFill>
            <w14:solidFill>
              <w14:schemeClr w14:val="tx1"/>
            </w14:solidFill>
          </w14:textFill>
        </w:rPr>
        <w:t xml:space="preserve">行业；承建企业为</w:t>
      </w:r>
      <w:r>
        <w:rPr>
          <w:rFonts w:hint="eastAsia" w:ascii="宋体" w:hAnsi="宋体" w:cs="宋体"/>
          <w:color w:val="000000" w:themeColor="text1"/>
          <w:sz w:val="24"/>
          <w:szCs w:val="24"/>
          <w:highlight w:val="none"/>
          <w:u w:val="single"/>
          <w14:textFill>
            <w14:solidFill>
              <w14:schemeClr w14:val="tx1"/>
            </w14:solidFill>
          </w14:textFill>
        </w:rPr>
        <w:t xml:space="preserve"> [企业名称] </w:t>
      </w:r>
      <w:r>
        <w:rPr>
          <w:rFonts w:hint="eastAsia" w:ascii="宋体" w:hAnsi="宋体" w:cs="宋体"/>
          <w:color w:val="000000" w:themeColor="text1"/>
          <w:sz w:val="24"/>
          <w:szCs w:val="24"/>
          <w:highlight w:val="none"/>
          <w14:textFill>
            <w14:solidFill>
              <w14:schemeClr w14:val="tx1"/>
            </w14:solidFill>
          </w14:textFill>
        </w:rPr>
        <w:t xml:space="preserve">，从业人员</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人，营业收入为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万元，资产总额为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万元，属于</w:t>
      </w:r>
      <w:r>
        <w:rPr>
          <w:rFonts w:hint="eastAsia" w:ascii="宋体" w:hAnsi="宋体" w:cs="宋体"/>
          <w:color w:val="000000" w:themeColor="text1"/>
          <w:sz w:val="24"/>
          <w:szCs w:val="24"/>
          <w:highlight w:val="none"/>
          <w:u w:val="single"/>
          <w14:textFill>
            <w14:solidFill>
              <w14:schemeClr w14:val="tx1"/>
            </w14:solidFill>
          </w14:textFill>
        </w:rPr>
        <w:t xml:space="preserve"> *中型企业   *小型企业     *微型企业  </w:t>
      </w:r>
      <w:r>
        <w:rPr>
          <w:rFonts w:hint="eastAsia" w:ascii="宋体" w:hAnsi="宋体" w:cs="宋体"/>
          <w:color w:val="000000" w:themeColor="text1"/>
          <w:sz w:val="24"/>
          <w:szCs w:val="24"/>
          <w:highlight w:val="none"/>
          <w14:textFill>
            <w14:solidFill>
              <w14:schemeClr w14:val="tx1"/>
            </w14:solidFill>
          </w14:textFill>
        </w:rPr>
        <w:t xml:space="preserve">；</w:t>
      </w:r>
      <w:r/>
    </w:p>
    <w:p>
      <w:pPr>
        <w:pStyle w:val="900"/>
        <w:ind w:firstLine="480"/>
        <w:spacing w:line="360" w:lineRule="auto"/>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900"/>
        <w:ind w:firstLine="480"/>
        <w:spacing w:line="360" w:lineRule="auto"/>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以上企业，不属于大企业的分支机构，不存在控股股东为大企业的情形，也不存在与大企业的负责人为同一人的情形。</w:t>
      </w:r>
      <w:r/>
    </w:p>
    <w:p>
      <w:pPr>
        <w:pStyle w:val="900"/>
        <w:ind w:firstLine="480"/>
        <w:spacing w:line="360" w:lineRule="auto"/>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如组成联合体或者接受分包合同的中小企业与联合体内的其他企业，分包企业之间不存在直接控制、管理关系；</w:t>
      </w:r>
      <w:r/>
    </w:p>
    <w:p>
      <w:pPr>
        <w:pStyle w:val="900"/>
        <w:ind w:firstLine="480"/>
        <w:spacing w:line="360" w:lineRule="auto"/>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本企业对上述声明内容的真实性负责。如有虚假，将依法承担相应责任。</w:t>
      </w:r>
      <w:r/>
    </w:p>
    <w:p>
      <w:pPr>
        <w:spacing w:line="300" w:lineRule="auto"/>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备注：</w:t>
      </w:r>
      <w:r/>
    </w:p>
    <w:p>
      <w:pPr>
        <w:pStyle w:val="900"/>
        <w:spacing w:line="300" w:lineRule="auto"/>
        <w:rPr>
          <w:rFonts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(1)从业人员、营业收入、资产总额填报上一年度数据，无上一年度数据的新成立企业可不填报。</w:t>
      </w:r>
      <w:r/>
    </w:p>
    <w:p>
      <w:pPr>
        <w:pStyle w:val="900"/>
        <w:spacing w:line="300" w:lineRule="auto"/>
        <w:rPr>
          <w:rFonts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(2)上述“相关企业”含联合体中的中小企业、签订分包意向协议的中小企业；</w:t>
      </w:r>
      <w:r/>
    </w:p>
    <w:p>
      <w:pPr>
        <w:pStyle w:val="900"/>
        <w:spacing w:line="300" w:lineRule="auto"/>
        <w:rPr>
          <w:rFonts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(3)供应商如未按要求提供此声明函，报价将不做相应扣除；中标供应商如享受本项目小微企业扶持政策的，其《中小企业声明函》将随本项目的中标结果同时公告，接受社会监督； </w:t>
      </w:r>
      <w:r/>
    </w:p>
    <w:p>
      <w:pPr>
        <w:pStyle w:val="900"/>
        <w:spacing w:line="300" w:lineRule="auto"/>
        <w:rPr>
          <w:rFonts w:ascii="宋体" w:hAnsi="宋体" w:eastAsia="宋体" w:cs="宋体"/>
          <w:color w:val="000000" w:themeColor="text1"/>
          <w:sz w:val="22"/>
          <w:szCs w:val="22"/>
          <w:highlight w:val="none"/>
          <w:lang w:eastAsia="zh-CN"/>
          <w14:textFill>
            <w14:solidFill>
              <w14:schemeClr w14:val="tx1"/>
            </w14:solidFill>
          </w14:textFill>
        </w:rPr>
      </w:pPr>
      <w:r>
        <w:rPr>
          <w:rFonts w:ascii="宋体" w:hAnsi="宋体" w:eastAsia="宋体" w:cs="宋体"/>
          <w:color w:val="000000" w:themeColor="text1"/>
          <w:sz w:val="22"/>
          <w:szCs w:val="22"/>
          <w:highlight w:val="none"/>
          <w:lang w:eastAsia="zh-CN"/>
          <w14:textFill>
            <w14:solidFill>
              <w14:schemeClr w14:val="tx1"/>
            </w14:solidFill>
          </w14:textFill>
        </w:rPr>
      </w:r>
      <w:r/>
    </w:p>
    <w:p>
      <w:pPr>
        <w:ind w:left="5250"/>
        <w:jc w:val="left"/>
        <w:spacing w:line="360" w:lineRule="auto"/>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r>
      <w:r/>
    </w:p>
    <w:p>
      <w:pPr>
        <w:ind w:left="525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企业名称</w:t>
      </w:r>
      <w:r>
        <w:rPr>
          <w:rFonts w:hint="eastAsia" w:ascii="宋体" w:hAnsi="宋体" w:cs="宋体"/>
          <w:color w:val="000000" w:themeColor="text1"/>
          <w:sz w:val="24"/>
          <w:highlight w:val="none"/>
          <w14:textFill>
            <w14:solidFill>
              <w14:schemeClr w14:val="tx1"/>
            </w14:solidFill>
          </w14:textFill>
        </w:rPr>
        <w:t xml:space="preserve">：</w:t>
      </w:r>
      <w:r/>
    </w:p>
    <w:p>
      <w:pPr>
        <w:ind w:left="525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w:t>
      </w:r>
      <w:bookmarkEnd w:id="869"/>
      <w:r/>
    </w:p>
    <w:p>
      <w:pPr>
        <w:pStyle w:val="972"/>
        <w:ind w:firstLine="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72"/>
        <w:ind w:firstLine="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附件：</w:t>
      </w:r>
      <w:r/>
    </w:p>
    <w:p>
      <w:pPr>
        <w:pStyle w:val="846"/>
        <w:spacing w:before="286" w:after="143" w:line="360" w:lineRule="auto"/>
        <w:rPr>
          <w:rFonts w:ascii="宋体" w:hAnsi="宋体" w:eastAsia="宋体" w:cs="宋体"/>
          <w:color w:val="000000" w:themeColor="text1"/>
          <w:sz w:val="32"/>
          <w:szCs w:val="32"/>
          <w:highlight w:val="none"/>
          <w:lang w:eastAsia="zh-CN"/>
          <w14:textFill>
            <w14:solidFill>
              <w14:schemeClr w14:val="tx1"/>
            </w14:solidFill>
          </w14:textFill>
        </w:rPr>
      </w:pPr>
      <w:r/>
      <w:bookmarkStart w:id="871" w:name="_Toc226127020"/>
      <w:r>
        <w:rPr>
          <w:rFonts w:hint="eastAsia" w:ascii="宋体" w:hAnsi="宋体" w:eastAsia="宋体" w:cs="宋体"/>
          <w:color w:val="000000" w:themeColor="text1"/>
          <w:sz w:val="32"/>
          <w:szCs w:val="32"/>
          <w:highlight w:val="none"/>
          <w:lang w:eastAsia="zh-CN"/>
          <w14:textFill>
            <w14:solidFill>
              <w14:schemeClr w14:val="tx1"/>
            </w14:solidFill>
          </w14:textFill>
        </w:rPr>
        <w:t xml:space="preserve">残疾人福利性单位声明函</w:t>
      </w:r>
      <w:bookmarkEnd w:id="871"/>
      <w:r/>
      <w:r/>
    </w:p>
    <w:p>
      <w:pPr>
        <w:ind w:firstLine="480"/>
        <w:spacing w:before="57" w:line="48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before="57" w:line="48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000000" w:themeColor="text1"/>
          <w:sz w:val="24"/>
          <w:highlight w:val="none"/>
          <w:u w:val="single"/>
          <w14:textFill>
            <w14:solidFill>
              <w14:schemeClr w14:val="tx1"/>
            </w14:solidFill>
          </w14:textFill>
        </w:rPr>
        <w:t xml:space="preserve">_ [采购人单位名称] _</w:t>
      </w:r>
      <w:r>
        <w:rPr>
          <w:rFonts w:hint="eastAsia" w:ascii="宋体" w:hAnsi="宋体" w:cs="宋体"/>
          <w:color w:val="000000" w:themeColor="text1"/>
          <w:sz w:val="24"/>
          <w:highlight w:val="none"/>
          <w14:textFill>
            <w14:solidFill>
              <w14:schemeClr w14:val="tx1"/>
            </w14:solidFill>
          </w14:textFill>
        </w:rPr>
        <w:t xml:space="preserve">单位的采购文件编号为</w:t>
      </w:r>
      <w:r>
        <w:rPr>
          <w:rFonts w:hint="eastAsia" w:ascii="宋体" w:hAnsi="宋体" w:cs="宋体"/>
          <w:color w:val="000000" w:themeColor="text1"/>
          <w:sz w:val="24"/>
          <w:highlight w:val="none"/>
          <w:u w:val="single"/>
          <w14:textFill>
            <w14:solidFill>
              <w14:schemeClr w14:val="tx1"/>
            </w14:solidFill>
          </w14:textFill>
        </w:rPr>
        <w:t xml:space="preserve">_ [项目编号] _</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14:textFill>
            <w14:solidFill>
              <w14:schemeClr w14:val="tx1"/>
            </w14:solidFill>
          </w14:textFill>
        </w:rPr>
        <w:t xml:space="preserve">  [项目名称]</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[分包号（如有）]  </w:t>
      </w:r>
      <w:r>
        <w:rPr>
          <w:rFonts w:hint="eastAsia" w:ascii="宋体" w:hAnsi="宋体" w:cs="宋体"/>
          <w:color w:val="000000" w:themeColor="text1"/>
          <w:sz w:val="24"/>
          <w:highlight w:val="none"/>
          <w14:textFill>
            <w14:solidFill>
              <w14:schemeClr w14:val="tx1"/>
            </w14:solidFill>
          </w14:textFill>
        </w:rPr>
        <w:t xml:space="preserve">项目采购活动提供全部由本单位制造的货物（全部由本单位承担工程/提供服务），或者提供其他残疾人福利性单位</w:t>
      </w:r>
      <w:r>
        <w:rPr>
          <w:rFonts w:hint="eastAsia" w:ascii="宋体" w:hAnsi="宋体" w:cs="宋体"/>
          <w:color w:val="000000" w:themeColor="text1"/>
          <w:sz w:val="24"/>
          <w:highlight w:val="none"/>
          <w:u w:val="single"/>
          <w14:textFill>
            <w14:solidFill>
              <w14:schemeClr w14:val="tx1"/>
            </w14:solidFill>
          </w14:textFill>
        </w:rPr>
        <w:t xml:space="preserve">  [残疾人福利性单位名称]  </w:t>
      </w:r>
      <w:r>
        <w:rPr>
          <w:rFonts w:hint="eastAsia" w:ascii="宋体" w:hAnsi="宋体" w:cs="宋体"/>
          <w:color w:val="000000" w:themeColor="text1"/>
          <w:sz w:val="24"/>
          <w:highlight w:val="none"/>
          <w14:textFill>
            <w14:solidFill>
              <w14:schemeClr w14:val="tx1"/>
            </w14:solidFill>
          </w14:textFill>
        </w:rPr>
        <w:t xml:space="preserve">制造的货物（不包括使用非残疾人福利性单位注册商标的货物）。</w:t>
      </w:r>
      <w:r/>
    </w:p>
    <w:p>
      <w:pPr>
        <w:ind w:firstLine="480"/>
        <w:spacing w:before="57" w:line="48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0"/>
        <w:spacing w:before="57"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00" w:lineRule="auto"/>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备注：</w:t>
      </w:r>
      <w:r/>
    </w:p>
    <w:p>
      <w:pPr>
        <w:pStyle w:val="900"/>
        <w:spacing w:line="300" w:lineRule="auto"/>
        <w:rPr>
          <w:rFonts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(1)如专门面向中小微型企业采购的项目，供应商为残疾人福利性单位并提供本单位制造的货物，或者提供其他残疾人福利性单位制造的货物，必须提供此声明函，否则将不能通过资格审查。</w:t>
      </w:r>
      <w:r/>
    </w:p>
    <w:p>
      <w:pPr>
        <w:pStyle w:val="900"/>
        <w:spacing w:line="300" w:lineRule="auto"/>
        <w:rPr>
          <w:rFonts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(2) 如非专门面向中小微型企业采购的项目，供应商如未按要求提供此声明函，报价将不做相应扣除；</w:t>
      </w:r>
      <w:r/>
    </w:p>
    <w:p>
      <w:pPr>
        <w:pStyle w:val="900"/>
        <w:spacing w:line="300" w:lineRule="auto"/>
        <w:rPr>
          <w:rFonts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(3)中标供应商如享受本项目残疾人福利单位扶持政策的，其《残疾人福利性单位声明函》将随本项目的中标结果同时公告，接受社会监督； </w:t>
      </w:r>
      <w:r/>
    </w:p>
    <w:p>
      <w:pPr>
        <w:ind w:firstLine="624"/>
        <w:spacing w:line="588" w:lineRule="exact"/>
        <w:rPr>
          <w:rFonts w:ascii="宋体" w:hAnsi="宋体" w:cs="宋体"/>
          <w:color w:val="000000" w:themeColor="text1"/>
          <w:spacing w:val="6"/>
          <w:sz w:val="30"/>
          <w:szCs w:val="30"/>
          <w:highlight w:val="none"/>
          <w14:textFill>
            <w14:solidFill>
              <w14:schemeClr w14:val="tx1"/>
            </w14:solidFill>
          </w14:textFill>
        </w:rPr>
      </w:pPr>
      <w:r>
        <w:rPr>
          <w:rFonts w:ascii="宋体" w:hAnsi="宋体" w:cs="宋体"/>
          <w:color w:val="000000" w:themeColor="text1"/>
          <w:spacing w:val="6"/>
          <w:sz w:val="30"/>
          <w:szCs w:val="30"/>
          <w:highlight w:val="none"/>
          <w14:textFill>
            <w14:solidFill>
              <w14:schemeClr w14:val="tx1"/>
            </w14:solidFill>
          </w14:textFill>
        </w:rPr>
      </w:r>
      <w:r/>
    </w:p>
    <w:p>
      <w:pPr>
        <w:ind w:firstLine="624"/>
        <w:spacing w:line="588" w:lineRule="exact"/>
        <w:rPr>
          <w:rFonts w:ascii="宋体" w:hAnsi="宋体" w:cs="宋体"/>
          <w:color w:val="000000" w:themeColor="text1"/>
          <w:spacing w:val="6"/>
          <w:sz w:val="30"/>
          <w:szCs w:val="30"/>
          <w:highlight w:val="none"/>
          <w14:textFill>
            <w14:solidFill>
              <w14:schemeClr w14:val="tx1"/>
            </w14:solidFill>
          </w14:textFill>
        </w:rPr>
      </w:pPr>
      <w:r>
        <w:rPr>
          <w:rFonts w:ascii="宋体" w:hAnsi="宋体" w:cs="宋体"/>
          <w:color w:val="000000" w:themeColor="text1"/>
          <w:spacing w:val="6"/>
          <w:sz w:val="30"/>
          <w:szCs w:val="30"/>
          <w:highlight w:val="none"/>
          <w14:textFill>
            <w14:solidFill>
              <w14:schemeClr w14:val="tx1"/>
            </w14:solidFill>
          </w14:textFill>
        </w:rPr>
      </w:r>
      <w:r/>
    </w:p>
    <w:p>
      <w:pPr>
        <w:ind w:left="525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供应商全称</w:t>
      </w:r>
      <w:r>
        <w:rPr>
          <w:rFonts w:hint="eastAsia" w:ascii="宋体" w:hAnsi="宋体" w:cs="宋体"/>
          <w:color w:val="000000" w:themeColor="text1"/>
          <w:sz w:val="24"/>
          <w:highlight w:val="none"/>
          <w14:textFill>
            <w14:solidFill>
              <w14:schemeClr w14:val="tx1"/>
            </w14:solidFill>
          </w14:textFill>
        </w:rPr>
        <w:t xml:space="preserve">：</w:t>
      </w:r>
      <w:r/>
    </w:p>
    <w:p>
      <w:pPr>
        <w:ind w:left="525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w:t>
      </w:r>
      <w:bookmarkEnd w:id="870"/>
      <w:r/>
    </w:p>
    <w:p>
      <w:pPr>
        <w:pStyle w:val="846"/>
        <w:jc w:val="left"/>
        <w:spacing w:before="286" w:after="143" w:line="360" w:lineRule="auto"/>
        <w:rPr>
          <w:rFonts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br w:type="page" w:clear="all"/>
      </w:r>
      <w:bookmarkStart w:id="872" w:name="_Toc226127021"/>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《中小微企业声明函》附件：</w:t>
      </w:r>
      <w:bookmarkEnd w:id="872"/>
      <w:r/>
      <w:r/>
    </w:p>
    <w:p>
      <w:pPr>
        <w:pStyle w:val="922"/>
        <w:ind w:firstLine="562"/>
        <w:jc w:val="center"/>
        <w:spacing w:before="0" w:beforeAutospacing="0" w:after="0" w:afterAutospacing="0" w:line="360" w:lineRule="auto"/>
        <w:shd w:val="clear" w:color="auto" w:fill="ffffff"/>
        <w:rPr>
          <w:color w:val="000000" w:themeColor="text1"/>
          <w:sz w:val="28"/>
          <w:szCs w:val="28"/>
          <w:highlight w:val="none"/>
          <w14:textFill>
            <w14:solidFill>
              <w14:schemeClr w14:val="tx1"/>
            </w14:solidFill>
          </w14:textFill>
        </w:rPr>
      </w:pPr>
      <w:r>
        <w:rPr>
          <w:rStyle w:val="858"/>
          <w:rFonts w:hint="eastAsia"/>
          <w:color w:val="000000" w:themeColor="text1"/>
          <w:sz w:val="28"/>
          <w:szCs w:val="28"/>
          <w:highlight w:val="none"/>
          <w14:textFill>
            <w14:solidFill>
              <w14:schemeClr w14:val="tx1"/>
            </w14:solidFill>
          </w14:textFill>
        </w:rPr>
        <w:t xml:space="preserve">中小企业划型标准规定</w:t>
      </w:r>
      <w:r/>
    </w:p>
    <w:p>
      <w:pPr>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一、根据《中华人民共和国中小企业促进法》和《国务院关于进一步促进中小企业发展的若干意见》(国发〔2009〕36号)，制定本规定。</w:t>
      </w:r>
      <w:r>
        <w:rPr>
          <w:rFonts w:hint="eastAsia" w:ascii="宋体" w:hAnsi="宋体" w:cs="宋体"/>
          <w:color w:val="000000" w:themeColor="text1"/>
          <w:sz w:val="24"/>
          <w:highlight w:val="none"/>
          <w14:textFill>
            <w14:solidFill>
              <w14:schemeClr w14:val="tx1"/>
            </w14:solidFill>
          </w14:textFill>
        </w:rPr>
        <w:br w:type="textWrapping" w:clear="all"/>
      </w:r>
      <w:r>
        <w:rPr>
          <w:rFonts w:hint="eastAsia" w:ascii="宋体" w:hAnsi="宋体" w:cs="宋体"/>
          <w:color w:val="000000" w:themeColor="text1"/>
          <w:sz w:val="24"/>
          <w:highlight w:val="none"/>
          <w14:textFill>
            <w14:solidFill>
              <w14:schemeClr w14:val="tx1"/>
            </w14:solidFill>
          </w14:textFill>
        </w:rPr>
        <w:t xml:space="preserve">　　二、中小企业划分为中型、小型、微型三种类型，具体标准根据企业从业人员、营业收入、资产总额等指标，结合行业特点制定。</w:t>
      </w:r>
      <w:r>
        <w:rPr>
          <w:rFonts w:hint="eastAsia" w:ascii="宋体" w:hAnsi="宋体" w:cs="宋体"/>
          <w:color w:val="000000" w:themeColor="text1"/>
          <w:sz w:val="24"/>
          <w:highlight w:val="none"/>
          <w14:textFill>
            <w14:solidFill>
              <w14:schemeClr w14:val="tx1"/>
            </w14:solidFill>
          </w14:textFill>
        </w:rPr>
        <w:br/>
      </w:r>
      <w:r>
        <w:rPr>
          <w:rFonts w:hint="eastAsia" w:ascii="宋体" w:hAnsi="宋体" w:cs="宋体"/>
          <w:color w:val="000000" w:themeColor="text1"/>
          <w:sz w:val="24"/>
          <w:highlight w:val="none"/>
          <w14:textFill>
            <w14:solidFill>
              <w14:schemeClr w14:val="tx1"/>
            </w14:solidFill>
          </w14:textFill>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s="宋体"/>
          <w:color w:val="000000" w:themeColor="text1"/>
          <w:sz w:val="24"/>
          <w:highlight w:val="none"/>
          <w14:textFill>
            <w14:solidFill>
              <w14:schemeClr w14:val="tx1"/>
            </w14:solidFill>
          </w14:textFill>
        </w:rPr>
        <w:br/>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　四、各行业划型标准为：</w:t>
      </w:r>
      <w:r/>
    </w:p>
    <w:p>
      <w:pPr>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（一）农、林、牧、渔业。</w:t>
      </w:r>
      <w:r>
        <w:rPr>
          <w:rFonts w:hint="eastAsia" w:ascii="宋体" w:hAnsi="宋体" w:cs="宋体"/>
          <w:color w:val="000000" w:themeColor="text1"/>
          <w:sz w:val="24"/>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（二）工业。</w:t>
      </w:r>
      <w:r>
        <w:rPr>
          <w:rFonts w:hint="eastAsia" w:ascii="宋体" w:hAnsi="宋体" w:cs="宋体"/>
          <w:color w:val="000000" w:themeColor="text1"/>
          <w:sz w:val="24"/>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（三）建筑业。</w:t>
      </w:r>
      <w:r>
        <w:rPr>
          <w:rFonts w:hint="eastAsia" w:ascii="宋体" w:hAnsi="宋体" w:cs="宋体"/>
          <w:color w:val="000000" w:themeColor="text1"/>
          <w:sz w:val="24"/>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（四）批发业。</w:t>
      </w:r>
      <w:r>
        <w:rPr>
          <w:rFonts w:hint="eastAsia" w:ascii="宋体" w:hAnsi="宋体" w:cs="宋体"/>
          <w:color w:val="000000" w:themeColor="text1"/>
          <w:sz w:val="24"/>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（五）零售业。</w:t>
      </w:r>
      <w:r>
        <w:rPr>
          <w:rFonts w:hint="eastAsia" w:ascii="宋体" w:hAnsi="宋体" w:cs="宋体"/>
          <w:color w:val="000000" w:themeColor="text1"/>
          <w:sz w:val="24"/>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（六）交通运输业。</w:t>
      </w:r>
      <w:r>
        <w:rPr>
          <w:rFonts w:hint="eastAsia" w:ascii="宋体" w:hAnsi="宋体" w:cs="宋体"/>
          <w:color w:val="000000" w:themeColor="text1"/>
          <w:sz w:val="24"/>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（七）仓储业。</w:t>
      </w:r>
      <w:r>
        <w:rPr>
          <w:rFonts w:hint="eastAsia" w:ascii="宋体" w:hAnsi="宋体" w:cs="宋体"/>
          <w:color w:val="000000" w:themeColor="text1"/>
          <w:sz w:val="24"/>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（八）邮政业。</w:t>
      </w:r>
      <w:r>
        <w:rPr>
          <w:rFonts w:hint="eastAsia" w:ascii="宋体" w:hAnsi="宋体" w:cs="宋体"/>
          <w:color w:val="000000" w:themeColor="text1"/>
          <w:sz w:val="24"/>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（九）住宿业。</w:t>
      </w:r>
      <w:r>
        <w:rPr>
          <w:rFonts w:hint="eastAsia" w:ascii="宋体" w:hAnsi="宋体" w:cs="宋体"/>
          <w:color w:val="000000" w:themeColor="text1"/>
          <w:sz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（十）餐饮业。</w:t>
      </w:r>
      <w:r>
        <w:rPr>
          <w:rFonts w:hint="eastAsia" w:ascii="宋体" w:hAnsi="宋体" w:cs="宋体"/>
          <w:color w:val="000000" w:themeColor="text1"/>
          <w:sz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（十一）信息传输业。</w:t>
      </w:r>
      <w:r>
        <w:rPr>
          <w:rFonts w:hint="eastAsia" w:ascii="宋体" w:hAnsi="宋体" w:cs="宋体"/>
          <w:color w:val="000000" w:themeColor="text1"/>
          <w:sz w:val="24"/>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（十二）软件和信息技术服务业。</w:t>
      </w:r>
      <w:r>
        <w:rPr>
          <w:rFonts w:hint="eastAsia" w:ascii="宋体" w:hAnsi="宋体" w:cs="宋体"/>
          <w:color w:val="000000" w:themeColor="text1"/>
          <w:sz w:val="24"/>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（十三）房地产开发经营。</w:t>
      </w:r>
      <w:r>
        <w:rPr>
          <w:rFonts w:hint="eastAsia" w:ascii="宋体" w:hAnsi="宋体" w:cs="宋体"/>
          <w:color w:val="000000" w:themeColor="text1"/>
          <w:sz w:val="24"/>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（十四）物业管理。</w:t>
      </w:r>
      <w:r>
        <w:rPr>
          <w:rFonts w:hint="eastAsia" w:ascii="宋体" w:hAnsi="宋体" w:cs="宋体"/>
          <w:color w:val="000000" w:themeColor="text1"/>
          <w:sz w:val="24"/>
          <w:highlight w:val="none"/>
          <w14:textFill>
            <w14:solidFill>
              <w14:schemeClr w14:val="tx1"/>
            </w14:solidFill>
          </w14:textFill>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（十五）租赁和商务服务业。</w:t>
      </w:r>
      <w:r>
        <w:rPr>
          <w:rFonts w:hint="eastAsia" w:ascii="宋体" w:hAnsi="宋体" w:cs="宋体"/>
          <w:color w:val="000000" w:themeColor="text1"/>
          <w:sz w:val="24"/>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rPr>
          <w:rFonts w:ascii="宋体" w:hAnsi="宋体" w:cs="宋体"/>
          <w:color w:val="000000" w:themeColor="text1"/>
          <w:sz w:val="24"/>
          <w:highlight w:val="none"/>
          <w14:textFill>
            <w14:solidFill>
              <w14:schemeClr w14:val="tx1"/>
            </w14:solidFill>
          </w14:textFill>
        </w:rPr>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pPr>
      <w:r>
        <w:rPr>
          <w:rFonts w:hint="eastAsia" w:ascii="宋体" w:hAnsi="宋体" w:cs="宋体"/>
          <w:b/>
          <w:bCs/>
          <w:color w:val="000000" w:themeColor="text1"/>
          <w:sz w:val="24"/>
          <w:highlight w:val="none"/>
          <w14:textFill>
            <w14:solidFill>
              <w14:schemeClr w14:val="tx1"/>
            </w14:solidFill>
          </w14:textFill>
        </w:rPr>
        <w:t xml:space="preserve">（十六）其他未列明行业。</w:t>
      </w:r>
      <w:r>
        <w:rPr>
          <w:rFonts w:hint="eastAsia" w:ascii="宋体" w:hAnsi="宋体" w:cs="宋体"/>
          <w:color w:val="000000" w:themeColor="text1"/>
          <w:sz w:val="24"/>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color w:val="000000" w:themeColor="text1"/>
          <w:sz w:val="24"/>
          <w:highlight w:val="none"/>
          <w14:textFill>
            <w14:solidFill>
              <w14:schemeClr w14:val="tx1"/>
            </w14:solidFill>
          </w14:textFill>
        </w:rPr>
        <w:br w:type="textWrapping" w:clear="all"/>
      </w:r>
      <w:r>
        <w:rPr>
          <w:rFonts w:hint="eastAsia" w:ascii="宋体" w:hAnsi="宋体" w:cs="宋体"/>
          <w:color w:val="000000" w:themeColor="text1"/>
          <w:sz w:val="24"/>
          <w:highlight w:val="none"/>
          <w14:textFill>
            <w14:solidFill>
              <w14:schemeClr w14:val="tx1"/>
            </w14:solidFill>
          </w14:textFill>
        </w:rPr>
        <w:t xml:space="preserve">　　五、企业类型的划分以统计部门的统计数据为依据。</w:t>
      </w:r>
      <w:r>
        <w:rPr>
          <w:rFonts w:hint="eastAsia" w:ascii="宋体" w:hAnsi="宋体" w:cs="宋体"/>
          <w:color w:val="000000" w:themeColor="text1"/>
          <w:sz w:val="24"/>
          <w:highlight w:val="none"/>
          <w14:textFill>
            <w14:solidFill>
              <w14:schemeClr w14:val="tx1"/>
            </w14:solidFill>
          </w14:textFill>
        </w:rPr>
        <w:br w:type="textWrapping" w:clear="all"/>
      </w:r>
      <w:r>
        <w:rPr>
          <w:rFonts w:hint="eastAsia" w:ascii="宋体" w:hAnsi="宋体" w:cs="宋体"/>
          <w:color w:val="000000" w:themeColor="text1"/>
          <w:sz w:val="24"/>
          <w:highlight w:val="none"/>
          <w14:textFill>
            <w14:solidFill>
              <w14:schemeClr w14:val="tx1"/>
            </w14:solidFill>
          </w14:textFill>
        </w:rPr>
        <w:t xml:space="preserve">　　六、本规定适用于在中华人民共和国境内依法设立的各类所有制和各种组织形式的企业。个体工商户和本规定以外的行业，参照本规定进行划型。</w:t>
      </w:r>
      <w:r>
        <w:rPr>
          <w:rFonts w:hint="eastAsia" w:ascii="宋体" w:hAnsi="宋体" w:cs="宋体"/>
          <w:color w:val="000000" w:themeColor="text1"/>
          <w:sz w:val="24"/>
          <w:highlight w:val="none"/>
          <w14:textFill>
            <w14:solidFill>
              <w14:schemeClr w14:val="tx1"/>
            </w14:solidFill>
          </w14:textFill>
        </w:rPr>
        <w:br/>
      </w:r>
      <w:r>
        <w:rPr>
          <w:rFonts w:hint="eastAsia" w:ascii="宋体" w:hAnsi="宋体" w:cs="宋体"/>
          <w:color w:val="000000" w:themeColor="text1"/>
          <w:sz w:val="24"/>
          <w:highlight w:val="none"/>
          <w14:textFill>
            <w14:solidFill>
              <w14:schemeClr w14:val="tx1"/>
            </w14:solidFill>
          </w14:textFill>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s="宋体"/>
          <w:color w:val="000000" w:themeColor="text1"/>
          <w:sz w:val="24"/>
          <w:highlight w:val="none"/>
          <w14:textFill>
            <w14:solidFill>
              <w14:schemeClr w14:val="tx1"/>
            </w14:solidFill>
          </w14:textFill>
        </w:rPr>
        <w:br/>
      </w:r>
      <w:r>
        <w:rPr>
          <w:rFonts w:hint="eastAsia" w:ascii="宋体" w:hAnsi="宋体" w:cs="宋体"/>
          <w:color w:val="000000" w:themeColor="text1"/>
          <w:sz w:val="24"/>
          <w:highlight w:val="none"/>
          <w14:textFill>
            <w14:solidFill>
              <w14:schemeClr w14:val="tx1"/>
            </w14:solidFill>
          </w14:textFill>
        </w:rPr>
        <w:t xml:space="preserve">　　八、本规定由工业和信息化部、国家统计局会同有关部门根据《国民经济行业分类》修订情况和企业发展变化情况适时修订。</w:t>
      </w:r>
      <w:r>
        <w:rPr>
          <w:rFonts w:hint="eastAsia" w:ascii="宋体" w:hAnsi="宋体" w:cs="宋体"/>
          <w:color w:val="000000" w:themeColor="text1"/>
          <w:sz w:val="24"/>
          <w:highlight w:val="none"/>
          <w14:textFill>
            <w14:solidFill>
              <w14:schemeClr w14:val="tx1"/>
            </w14:solidFill>
          </w14:textFill>
        </w:rPr>
        <w:br/>
      </w:r>
      <w:r>
        <w:rPr>
          <w:rFonts w:hint="eastAsia" w:ascii="宋体" w:hAnsi="宋体" w:cs="宋体"/>
          <w:color w:val="000000" w:themeColor="text1"/>
          <w:sz w:val="24"/>
          <w:highlight w:val="none"/>
          <w14:textFill>
            <w14:solidFill>
              <w14:schemeClr w14:val="tx1"/>
            </w14:solidFill>
          </w14:textFill>
        </w:rPr>
        <w:t xml:space="preserve">　　九、本规定由工业和信息化部、国家统计局会同有关部门负责解释。</w:t>
      </w:r>
      <w:r>
        <w:rPr>
          <w:rFonts w:hint="eastAsia" w:ascii="宋体" w:hAnsi="宋体" w:cs="宋体"/>
          <w:color w:val="000000" w:themeColor="text1"/>
          <w:sz w:val="24"/>
          <w:highlight w:val="none"/>
          <w14:textFill>
            <w14:solidFill>
              <w14:schemeClr w14:val="tx1"/>
            </w14:solidFill>
          </w14:textFill>
        </w:rPr>
        <w:br/>
      </w:r>
      <w:r>
        <w:rPr>
          <w:rFonts w:hint="eastAsia" w:ascii="宋体" w:hAnsi="宋体" w:cs="宋体"/>
          <w:color w:val="000000" w:themeColor="text1"/>
          <w:sz w:val="24"/>
          <w:highlight w:val="none"/>
          <w14:textFill>
            <w14:solidFill>
              <w14:schemeClr w14:val="tx1"/>
            </w14:solidFill>
          </w14:textFill>
        </w:rPr>
        <w:t xml:space="preserve">　　十、本规定自发布之日起执行，原国家经贸委、原国家计委、财政部和国家统计局2003年颁布的《中小企业标准暂行规定》同时废止。</w:t>
      </w:r>
      <w:r/>
    </w:p>
    <w:p>
      <w:pPr>
        <w:pStyle w:val="846"/>
        <w:spacing w:before="286" w:after="143" w:line="360" w:lineRule="auto"/>
        <w:rPr>
          <w:rFonts w:ascii="宋体" w:hAnsi="宋体" w:eastAsia="宋体" w:cs="宋体"/>
          <w:bCs/>
          <w:color w:val="000000" w:themeColor="text1"/>
          <w:highlight w:val="none"/>
          <w:lang w:eastAsia="zh-CN"/>
          <w14:textFill>
            <w14:solidFill>
              <w14:schemeClr w14:val="tx1"/>
            </w14:solidFill>
          </w14:textFill>
        </w:rPr>
      </w:pPr>
      <w:r/>
      <w:bookmarkStart w:id="873" w:name="_Toc226127022"/>
      <w:r>
        <w:rPr>
          <w:rFonts w:hint="eastAsia" w:ascii="宋体" w:hAnsi="宋体" w:eastAsia="宋体" w:cs="宋体"/>
          <w:color w:val="000000" w:themeColor="text1"/>
          <w:sz w:val="28"/>
          <w:szCs w:val="28"/>
          <w:highlight w:val="none"/>
          <w:lang w:eastAsia="zh-CN"/>
          <w14:textFill>
            <w14:solidFill>
              <w14:schemeClr w14:val="tx1"/>
            </w14:solidFill>
          </w14:textFill>
        </w:rPr>
        <w:t xml:space="preserve">质疑函范本</w:t>
      </w:r>
      <w:bookmarkEnd w:id="873"/>
      <w:r/>
      <w:r/>
    </w:p>
    <w:p>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一、质疑供应商基本信息</w:t>
      </w:r>
      <w:r/>
    </w:p>
    <w:p>
      <w:pPr>
        <w:spacing w:line="36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质疑供应商：</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邮编：</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联系电话：</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授权代表：</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 </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邮编：</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二、质疑项目基本情况</w:t>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质疑项目的名称：</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质疑项目的编号：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包号：</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采购人名称：</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采购文件获取日期：</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三、质疑事项具体内容</w:t>
      </w:r>
      <w:r/>
    </w:p>
    <w:p>
      <w:pPr>
        <w:spacing w:line="36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质疑事项1：</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事实依据：</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法律依据：</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质疑事项2：……</w:t>
      </w:r>
      <w:r/>
    </w:p>
    <w:p>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四、与质疑事项相关的质疑请求</w:t>
      </w:r>
      <w:r/>
    </w:p>
    <w:p>
      <w:pPr>
        <w:spacing w:line="40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请求：</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单位公章：                     签字(签章)：                   日期：    </w:t>
      </w:r>
      <w:r/>
    </w:p>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spacing w:line="320" w:lineRule="exac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质疑函制作说明：</w:t>
      </w:r>
      <w:r/>
    </w:p>
    <w:p>
      <w:pPr>
        <w:spacing w:line="3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1.供应商提出质疑时，应提交质疑函和必要的证明材料。</w:t>
      </w:r>
      <w:r/>
    </w:p>
    <w:p>
      <w:pPr>
        <w:spacing w:line="3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spacing w:line="3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3.质疑供应商若对项目的某一分包进行质疑，质疑函中应列明具体分包号。</w:t>
      </w:r>
      <w:r/>
    </w:p>
    <w:p>
      <w:pPr>
        <w:spacing w:line="3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4.质疑函的质疑事项应具体、明确，并有必要的事实依据和法律依据。</w:t>
      </w:r>
      <w:r/>
    </w:p>
    <w:p>
      <w:pPr>
        <w:spacing w:line="3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5.质疑函的质疑请求应与质疑事项相关。</w:t>
      </w:r>
      <w:r/>
    </w:p>
    <w:p>
      <w:pPr>
        <w:spacing w:line="3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pStyle w:val="972"/>
        <w:ind w:firstLine="42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sectPr>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Symbol">
    <w:panose1 w:val="05050102010706020507"/>
  </w:font>
  <w:font w:name="Cambria">
    <w:panose1 w:val="02040503050406030204"/>
  </w:font>
  <w:font w:name="Georgia">
    <w:panose1 w:val="02040502050405020303"/>
  </w:font>
  <w:font w:name="Helvetica">
    <w:panose1 w:val="020B0604020202020204"/>
  </w:font>
  <w:font w:name="Calibri Light">
    <w:panose1 w:val="020F0302020204030204"/>
  </w:font>
  <w:font w:name="华文楷体">
    <w:panose1 w:val="02010600040101010101"/>
  </w:font>
  <w:font w:name="方正黑体_GBK">
    <w:panose1 w:val="020B0503020202020204"/>
  </w:font>
  <w:font w:name="方正小标宋_GBK">
    <w:panose1 w:val="020B0503020202020204"/>
  </w:font>
  <w:font w:name="Courier New">
    <w:panose1 w:val="02070309020205020404"/>
  </w:font>
  <w:font w:name="Book Antiqua">
    <w:panose1 w:val="02040602050305030304"/>
  </w:font>
  <w:font w:name="Tahoma">
    <w:panose1 w:val="020B0604030504040204"/>
  </w:font>
  <w:font w:name="ˎ̥">
    <w:panose1 w:val="020B0503020202020204"/>
  </w:font>
  <w:font w:name="楷体_GB2312">
    <w:panose1 w:val="02010609060101010101"/>
  </w:font>
  <w:font w:name=":ZLe">
    <w:panose1 w:val="020B0503020202020204"/>
  </w:font>
  <w:font w:name="等线 Light">
    <w:panose1 w:val="02010600030101010101"/>
  </w:font>
  <w:font w:name="等线">
    <w:panose1 w:val="02010600030101010101"/>
  </w:font>
  <w:font w:name="仿宋">
    <w:panose1 w:val="02010609060101010101"/>
  </w:font>
  <w:font w:name="方正楷体_GBK">
    <w:panose1 w:val="020B0503020202020204"/>
  </w:font>
  <w:font w:name="华文中宋">
    <w:panose1 w:val="02010600040101010101"/>
  </w:font>
  <w:font w:name="Verdana">
    <w:panose1 w:val="020B0604030504040204"/>
  </w:font>
  <w:font w:name="方正姚体">
    <w:panose1 w:val="0201060103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Unicode MS">
    <w:panose1 w:val="020B0604020202020204"/>
  </w:font>
  <w:font w:name="HYDaHeiJ">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Style w:val="860"/>
      </w:rPr>
      <w:framePr w:wrap="around" w:vAnchor="text" w:hAnchor="margin" w:xAlign="center" w:y="1"/>
    </w:pPr>
    <w:r>
      <w:fldChar w:fldCharType="begin"/>
    </w:r>
    <w:r>
      <w:rPr>
        <w:rStyle w:val="860"/>
      </w:rPr>
      <w:instrText xml:space="preserve">PAGE  </w:instrText>
    </w:r>
    <w:r>
      <w:fldChar w:fldCharType="separate"/>
    </w:r>
    <w:r>
      <w:rPr>
        <w:rStyle w:val="860"/>
      </w:rPr>
      <w:t xml:space="preserve">92</w:t>
    </w:r>
    <w:r>
      <w:fldChar w:fldCharType="end"/>
    </w:r>
    <w:r/>
  </w:p>
  <w:p>
    <w:pPr>
      <w:pStyle w:val="8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Style w:val="860"/>
      </w:rPr>
      <w:framePr w:wrap="around" w:vAnchor="text" w:hAnchor="margin" w:xAlign="center" w:y="1"/>
    </w:pPr>
    <w:r>
      <w:fldChar w:fldCharType="begin"/>
    </w:r>
    <w:r>
      <w:rPr>
        <w:rStyle w:val="860"/>
      </w:rPr>
      <w:instrText xml:space="preserve">PAGE  </w:instrText>
    </w:r>
    <w:r>
      <w:fldChar w:fldCharType="separate"/>
    </w:r>
    <w:r>
      <w:rPr>
        <w:rStyle w:val="860"/>
      </w:rPr>
      <w:t xml:space="preserve">1</w:t>
    </w:r>
    <w:r>
      <w:fldChar w:fldCharType="end"/>
    </w:r>
    <w:r/>
  </w:p>
  <w:p>
    <w:pPr>
      <w:pStyle w:val="88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right"/>
      <w:tabs>
        <w:tab w:val="left" w:pos="3565" w:leader="none"/>
        <w:tab w:val="clear" w:pos="4153" w:leader="none"/>
        <w:tab w:val="clear" w:pos="8306" w:leader="none"/>
      </w:tabs>
      <w:rPr>
        <w:rFonts w:ascii="华文中宋" w:hAnsi="华文中宋" w:eastAsia="华文中宋"/>
      </w:rPr>
    </w:pPr>
    <w:r>
      <w:rPr>
        <w:rFonts w:ascii="华文中宋" w:hAnsi="华文中宋" w:eastAsia="华文中宋"/>
      </w:rPr>
    </w:r>
    <w:r/>
  </w:p>
  <w:p>
    <w:pPr>
      <w:pStyle w:val="907"/>
      <w:jc w:val="both"/>
      <w:spacing w:line="60" w:lineRule="exact"/>
      <w:tabs>
        <w:tab w:val="left" w:pos="3565" w:leader="none"/>
        <w:tab w:val="clear" w:pos="4153" w:leader="none"/>
        <w:tab w:val="clear" w:pos="8306" w:leader="none"/>
      </w:tabs>
      <w:rPr>
        <w:rFonts w:ascii="华文中宋" w:hAnsi="华文中宋" w:eastAsia="华文中宋"/>
        <w:color w:val="000000"/>
      </w:rPr>
    </w:pPr>
    <w:r>
      <w:rPr>
        <w:rFonts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tab"/>
      <w:lvlText w:val="%1、"/>
      <w:lvlJc w:val="left"/>
      <w:pPr>
        <w:ind w:left="360" w:hanging="360"/>
      </w:pPr>
      <w:rPr>
        <w:rFonts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4"/>
    <w:link w:val="665"/>
    <w:uiPriority w:val="9"/>
    <w:rPr>
      <w:rFonts w:ascii="Arial" w:hAnsi="Arial" w:eastAsia="Arial" w:cs="Arial"/>
      <w:sz w:val="40"/>
      <w:szCs w:val="40"/>
    </w:rPr>
  </w:style>
  <w:style w:type="character" w:styleId="15">
    <w:name w:val="Heading 2 Char"/>
    <w:basedOn w:val="674"/>
    <w:link w:val="666"/>
    <w:uiPriority w:val="9"/>
    <w:rPr>
      <w:rFonts w:ascii="Arial" w:hAnsi="Arial" w:eastAsia="Arial" w:cs="Arial"/>
      <w:sz w:val="34"/>
    </w:rPr>
  </w:style>
  <w:style w:type="character" w:styleId="17">
    <w:name w:val="Heading 3 Char"/>
    <w:basedOn w:val="674"/>
    <w:link w:val="667"/>
    <w:uiPriority w:val="9"/>
    <w:rPr>
      <w:rFonts w:ascii="Arial" w:hAnsi="Arial" w:eastAsia="Arial" w:cs="Arial"/>
      <w:sz w:val="30"/>
      <w:szCs w:val="30"/>
    </w:rPr>
  </w:style>
  <w:style w:type="character" w:styleId="19">
    <w:name w:val="Heading 4 Char"/>
    <w:basedOn w:val="674"/>
    <w:link w:val="668"/>
    <w:uiPriority w:val="9"/>
    <w:rPr>
      <w:rFonts w:ascii="Arial" w:hAnsi="Arial" w:eastAsia="Arial" w:cs="Arial"/>
      <w:b/>
      <w:bCs/>
      <w:sz w:val="26"/>
      <w:szCs w:val="26"/>
    </w:rPr>
  </w:style>
  <w:style w:type="character" w:styleId="21">
    <w:name w:val="Heading 5 Char"/>
    <w:basedOn w:val="674"/>
    <w:link w:val="669"/>
    <w:uiPriority w:val="9"/>
    <w:rPr>
      <w:rFonts w:ascii="Arial" w:hAnsi="Arial" w:eastAsia="Arial" w:cs="Arial"/>
      <w:b/>
      <w:bCs/>
      <w:sz w:val="24"/>
      <w:szCs w:val="24"/>
    </w:rPr>
  </w:style>
  <w:style w:type="character" w:styleId="23">
    <w:name w:val="Heading 6 Char"/>
    <w:basedOn w:val="674"/>
    <w:link w:val="670"/>
    <w:uiPriority w:val="9"/>
    <w:rPr>
      <w:rFonts w:ascii="Arial" w:hAnsi="Arial" w:eastAsia="Arial" w:cs="Arial"/>
      <w:b/>
      <w:bCs/>
      <w:sz w:val="22"/>
      <w:szCs w:val="22"/>
    </w:rPr>
  </w:style>
  <w:style w:type="character" w:styleId="25">
    <w:name w:val="Heading 7 Char"/>
    <w:basedOn w:val="674"/>
    <w:link w:val="671"/>
    <w:uiPriority w:val="9"/>
    <w:rPr>
      <w:rFonts w:ascii="Arial" w:hAnsi="Arial" w:eastAsia="Arial" w:cs="Arial"/>
      <w:b/>
      <w:bCs/>
      <w:i/>
      <w:iCs/>
      <w:sz w:val="22"/>
      <w:szCs w:val="22"/>
    </w:rPr>
  </w:style>
  <w:style w:type="character" w:styleId="27">
    <w:name w:val="Heading 8 Char"/>
    <w:basedOn w:val="674"/>
    <w:link w:val="672"/>
    <w:uiPriority w:val="9"/>
    <w:rPr>
      <w:rFonts w:ascii="Arial" w:hAnsi="Arial" w:eastAsia="Arial" w:cs="Arial"/>
      <w:i/>
      <w:iCs/>
      <w:sz w:val="22"/>
      <w:szCs w:val="22"/>
    </w:rPr>
  </w:style>
  <w:style w:type="character" w:styleId="29">
    <w:name w:val="Heading 9 Char"/>
    <w:basedOn w:val="674"/>
    <w:link w:val="673"/>
    <w:uiPriority w:val="9"/>
    <w:rPr>
      <w:rFonts w:ascii="Arial" w:hAnsi="Arial" w:eastAsia="Arial" w:cs="Arial"/>
      <w:i/>
      <w:iCs/>
      <w:sz w:val="21"/>
      <w:szCs w:val="21"/>
    </w:rPr>
  </w:style>
  <w:style w:type="character" w:styleId="34">
    <w:name w:val="Title Char"/>
    <w:basedOn w:val="674"/>
    <w:link w:val="692"/>
    <w:uiPriority w:val="10"/>
    <w:rPr>
      <w:sz w:val="48"/>
      <w:szCs w:val="48"/>
    </w:rPr>
  </w:style>
  <w:style w:type="character" w:styleId="36">
    <w:name w:val="Subtitle Char"/>
    <w:basedOn w:val="674"/>
    <w:link w:val="686"/>
    <w:uiPriority w:val="11"/>
    <w:rPr>
      <w:sz w:val="24"/>
      <w:szCs w:val="24"/>
    </w:rPr>
  </w:style>
  <w:style w:type="character" w:styleId="38">
    <w:name w:val="Quote Char"/>
    <w:link w:val="710"/>
    <w:uiPriority w:val="29"/>
    <w:rPr>
      <w:i/>
    </w:rPr>
  </w:style>
  <w:style w:type="character" w:styleId="40">
    <w:name w:val="Intense Quote Char"/>
    <w:link w:val="712"/>
    <w:uiPriority w:val="30"/>
    <w:rPr>
      <w:i/>
    </w:rPr>
  </w:style>
  <w:style w:type="character" w:styleId="42">
    <w:name w:val="Header Char"/>
    <w:basedOn w:val="674"/>
    <w:link w:val="683"/>
    <w:uiPriority w:val="99"/>
  </w:style>
  <w:style w:type="character" w:styleId="46">
    <w:name w:val="Caption Char"/>
    <w:basedOn w:val="677"/>
    <w:link w:val="682"/>
    <w:uiPriority w:val="99"/>
  </w:style>
  <w:style w:type="table" w:styleId="49">
    <w:name w:val="Plain Table 1"/>
    <w:basedOn w:val="6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87"/>
    <w:uiPriority w:val="99"/>
    <w:rPr>
      <w:sz w:val="18"/>
    </w:rPr>
  </w:style>
  <w:style w:type="character" w:styleId="178">
    <w:name w:val="Endnote Text Char"/>
    <w:link w:val="681"/>
    <w:uiPriority w:val="99"/>
    <w:rPr>
      <w:sz w:val="20"/>
    </w:rPr>
  </w:style>
  <w:style w:type="paragraph" w:styleId="189">
    <w:name w:val="TOC Heading"/>
    <w:uiPriority w:val="39"/>
    <w:unhideWhenUsed/>
  </w:style>
  <w:style w:type="paragraph" w:styleId="664" w:default="1">
    <w:name w:val="Normal"/>
    <w:next w:val="665"/>
    <w:uiPriority w:val="0"/>
    <w:qFormat/>
    <w:pPr>
      <w:jc w:val="both"/>
      <w:widowControl w:val="off"/>
    </w:pPr>
    <w:rPr>
      <w:rFonts w:ascii="Calibri" w:hAnsi="Calibri" w:eastAsia="宋体" w:cs="Times New Roman"/>
      <w:sz w:val="21"/>
      <w:szCs w:val="24"/>
      <w:lang w:val="en-US" w:eastAsia="zh-CN" w:bidi="ar-SA"/>
    </w:rPr>
  </w:style>
  <w:style w:type="paragraph" w:styleId="665">
    <w:name w:val="Heading 1"/>
    <w:basedOn w:val="664"/>
    <w:next w:val="664"/>
    <w:link w:val="697"/>
    <w:uiPriority w:val="9"/>
    <w:qFormat/>
    <w:pPr>
      <w:keepLines/>
      <w:keepNext/>
      <w:spacing w:before="480" w:after="200"/>
      <w:outlineLvl w:val="0"/>
    </w:pPr>
    <w:rPr>
      <w:rFonts w:ascii="Arial" w:hAnsi="Arial" w:eastAsia="Arial" w:cs="Arial"/>
      <w:sz w:val="40"/>
      <w:szCs w:val="40"/>
    </w:rPr>
  </w:style>
  <w:style w:type="paragraph" w:styleId="666">
    <w:name w:val="Heading 2"/>
    <w:basedOn w:val="664"/>
    <w:next w:val="664"/>
    <w:link w:val="698"/>
    <w:uiPriority w:val="9"/>
    <w:unhideWhenUsed/>
    <w:qFormat/>
    <w:pPr>
      <w:keepLines/>
      <w:keepNext/>
      <w:spacing w:before="360" w:after="200"/>
      <w:outlineLvl w:val="1"/>
    </w:pPr>
    <w:rPr>
      <w:rFonts w:ascii="Arial" w:hAnsi="Arial" w:eastAsia="Arial" w:cs="Arial"/>
      <w:sz w:val="34"/>
    </w:rPr>
  </w:style>
  <w:style w:type="paragraph" w:styleId="667">
    <w:name w:val="Heading 3"/>
    <w:basedOn w:val="664"/>
    <w:next w:val="664"/>
    <w:link w:val="699"/>
    <w:uiPriority w:val="9"/>
    <w:unhideWhenUsed/>
    <w:qFormat/>
    <w:pPr>
      <w:keepLines/>
      <w:keepNext/>
      <w:spacing w:before="320" w:after="200"/>
      <w:outlineLvl w:val="2"/>
    </w:pPr>
    <w:rPr>
      <w:rFonts w:ascii="Arial" w:hAnsi="Arial" w:eastAsia="Arial" w:cs="Arial"/>
      <w:sz w:val="30"/>
      <w:szCs w:val="30"/>
    </w:rPr>
  </w:style>
  <w:style w:type="paragraph" w:styleId="668">
    <w:name w:val="Heading 4"/>
    <w:basedOn w:val="664"/>
    <w:next w:val="664"/>
    <w:link w:val="700"/>
    <w:uiPriority w:val="9"/>
    <w:unhideWhenUsed/>
    <w:qFormat/>
    <w:pPr>
      <w:keepLines/>
      <w:keepNext/>
      <w:spacing w:before="320" w:after="200"/>
      <w:outlineLvl w:val="3"/>
    </w:pPr>
    <w:rPr>
      <w:rFonts w:ascii="Arial" w:hAnsi="Arial" w:eastAsia="Arial" w:cs="Arial"/>
      <w:b/>
      <w:bCs/>
      <w:sz w:val="26"/>
      <w:szCs w:val="26"/>
    </w:rPr>
  </w:style>
  <w:style w:type="paragraph" w:styleId="669">
    <w:name w:val="Heading 5"/>
    <w:basedOn w:val="664"/>
    <w:next w:val="664"/>
    <w:link w:val="701"/>
    <w:uiPriority w:val="9"/>
    <w:unhideWhenUsed/>
    <w:qFormat/>
    <w:pPr>
      <w:keepLines/>
      <w:keepNext/>
      <w:spacing w:before="320" w:after="200"/>
      <w:outlineLvl w:val="4"/>
    </w:pPr>
    <w:rPr>
      <w:rFonts w:ascii="Arial" w:hAnsi="Arial" w:eastAsia="Arial" w:cs="Arial"/>
      <w:b/>
      <w:bCs/>
      <w:sz w:val="24"/>
    </w:rPr>
  </w:style>
  <w:style w:type="paragraph" w:styleId="670">
    <w:name w:val="Heading 6"/>
    <w:basedOn w:val="664"/>
    <w:next w:val="664"/>
    <w:link w:val="702"/>
    <w:uiPriority w:val="9"/>
    <w:unhideWhenUsed/>
    <w:qFormat/>
    <w:pPr>
      <w:keepLines/>
      <w:keepNext/>
      <w:spacing w:before="320" w:after="200"/>
      <w:outlineLvl w:val="5"/>
    </w:pPr>
    <w:rPr>
      <w:rFonts w:ascii="Arial" w:hAnsi="Arial" w:eastAsia="Arial" w:cs="Arial"/>
      <w:b/>
      <w:bCs/>
      <w:sz w:val="22"/>
      <w:szCs w:val="22"/>
    </w:rPr>
  </w:style>
  <w:style w:type="paragraph" w:styleId="671">
    <w:name w:val="Heading 7"/>
    <w:basedOn w:val="664"/>
    <w:next w:val="664"/>
    <w:link w:val="703"/>
    <w:uiPriority w:val="9"/>
    <w:unhideWhenUsed/>
    <w:qFormat/>
    <w:pPr>
      <w:keepLines/>
      <w:keepNext/>
      <w:spacing w:before="320" w:after="200"/>
      <w:outlineLvl w:val="6"/>
    </w:pPr>
    <w:rPr>
      <w:rFonts w:ascii="Arial" w:hAnsi="Arial" w:eastAsia="Arial" w:cs="Arial"/>
      <w:b/>
      <w:bCs/>
      <w:i/>
      <w:iCs/>
      <w:sz w:val="22"/>
      <w:szCs w:val="22"/>
    </w:rPr>
  </w:style>
  <w:style w:type="paragraph" w:styleId="672">
    <w:name w:val="Heading 8"/>
    <w:basedOn w:val="664"/>
    <w:next w:val="664"/>
    <w:link w:val="704"/>
    <w:uiPriority w:val="9"/>
    <w:unhideWhenUsed/>
    <w:qFormat/>
    <w:pPr>
      <w:keepLines/>
      <w:keepNext/>
      <w:spacing w:before="320" w:after="200"/>
      <w:outlineLvl w:val="7"/>
    </w:pPr>
    <w:rPr>
      <w:rFonts w:ascii="Arial" w:hAnsi="Arial" w:eastAsia="Arial" w:cs="Arial"/>
      <w:i/>
      <w:iCs/>
      <w:sz w:val="22"/>
      <w:szCs w:val="22"/>
    </w:rPr>
  </w:style>
  <w:style w:type="paragraph" w:styleId="673">
    <w:name w:val="Heading 9"/>
    <w:basedOn w:val="664"/>
    <w:next w:val="664"/>
    <w:link w:val="705"/>
    <w:uiPriority w:val="9"/>
    <w:unhideWhenUsed/>
    <w:qFormat/>
    <w:pPr>
      <w:keepLines/>
      <w:keepNext/>
      <w:spacing w:before="320" w:after="200"/>
      <w:outlineLvl w:val="8"/>
    </w:pPr>
    <w:rPr>
      <w:rFonts w:ascii="Arial" w:hAnsi="Arial" w:eastAsia="Arial" w:cs="Arial"/>
      <w:i/>
      <w:iCs/>
      <w:szCs w:val="21"/>
    </w:rPr>
  </w:style>
  <w:style w:type="character" w:styleId="674" w:default="1">
    <w:name w:val="Default Paragraph Font"/>
    <w:uiPriority w:val="1"/>
    <w:semiHidden/>
    <w:unhideWhenUsed/>
    <w:qFormat/>
  </w:style>
  <w:style w:type="table" w:styleId="675" w:default="1">
    <w:name w:val="Normal Table"/>
    <w:uiPriority w:val="99"/>
    <w:semiHidden/>
    <w:unhideWhenUsed/>
    <w:qFormat/>
    <w:tblPr>
      <w:tblCellMar>
        <w:left w:w="108" w:type="dxa"/>
        <w:top w:w="0" w:type="dxa"/>
        <w:right w:w="108" w:type="dxa"/>
        <w:bottom w:w="0" w:type="dxa"/>
      </w:tblCellMar>
    </w:tblPr>
  </w:style>
  <w:style w:type="paragraph" w:styleId="676">
    <w:name w:val="toc 7"/>
    <w:basedOn w:val="664"/>
    <w:next w:val="664"/>
    <w:uiPriority w:val="0"/>
    <w:semiHidden/>
    <w:qFormat/>
    <w:pPr>
      <w:ind w:left="2520"/>
    </w:pPr>
  </w:style>
  <w:style w:type="paragraph" w:styleId="677">
    <w:name w:val="Caption"/>
    <w:basedOn w:val="664"/>
    <w:next w:val="6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8">
    <w:name w:val="toc 5"/>
    <w:basedOn w:val="664"/>
    <w:next w:val="664"/>
    <w:uiPriority w:val="0"/>
    <w:semiHidden/>
    <w:qFormat/>
    <w:pPr>
      <w:ind w:left="1680"/>
    </w:pPr>
  </w:style>
  <w:style w:type="paragraph" w:styleId="679">
    <w:name w:val="toc 3"/>
    <w:basedOn w:val="664"/>
    <w:next w:val="664"/>
    <w:uiPriority w:val="0"/>
    <w:qFormat/>
    <w:pPr>
      <w:ind w:left="539"/>
      <w:jc w:val="left"/>
      <w:spacing w:line="240" w:lineRule="exact"/>
      <w:tabs>
        <w:tab w:val="right" w:pos="9440" w:leader="dot"/>
      </w:tabs>
    </w:pPr>
    <w:rPr>
      <w:rFonts w:ascii="黑体" w:hAnsi="宋体" w:eastAsia="黑体"/>
      <w:bCs/>
      <w:iCs/>
      <w:sz w:val="18"/>
      <w:szCs w:val="32"/>
    </w:rPr>
  </w:style>
  <w:style w:type="paragraph" w:styleId="680">
    <w:name w:val="toc 8"/>
    <w:basedOn w:val="664"/>
    <w:next w:val="664"/>
    <w:uiPriority w:val="0"/>
    <w:semiHidden/>
    <w:qFormat/>
    <w:pPr>
      <w:ind w:left="2940"/>
    </w:pPr>
  </w:style>
  <w:style w:type="paragraph" w:styleId="681">
    <w:name w:val="endnote text"/>
    <w:basedOn w:val="664"/>
    <w:link w:val="843"/>
    <w:uiPriority w:val="99"/>
    <w:semiHidden/>
    <w:unhideWhenUsed/>
    <w:qFormat/>
    <w:rPr>
      <w:sz w:val="20"/>
    </w:rPr>
  </w:style>
  <w:style w:type="paragraph" w:styleId="682">
    <w:name w:val="Footer"/>
    <w:basedOn w:val="664"/>
    <w:link w:val="716"/>
    <w:uiPriority w:val="99"/>
    <w:unhideWhenUsed/>
    <w:qFormat/>
    <w:pPr>
      <w:tabs>
        <w:tab w:val="center" w:pos="7143" w:leader="none"/>
        <w:tab w:val="right" w:pos="14287" w:leader="none"/>
      </w:tabs>
    </w:pPr>
  </w:style>
  <w:style w:type="paragraph" w:styleId="683">
    <w:name w:val="Header"/>
    <w:basedOn w:val="664"/>
    <w:link w:val="714"/>
    <w:uiPriority w:val="99"/>
    <w:unhideWhenUsed/>
    <w:qFormat/>
    <w:pPr>
      <w:tabs>
        <w:tab w:val="center" w:pos="7143" w:leader="none"/>
        <w:tab w:val="right" w:pos="14287" w:leader="none"/>
      </w:tabs>
    </w:pPr>
  </w:style>
  <w:style w:type="paragraph" w:styleId="684">
    <w:name w:val="toc 1"/>
    <w:basedOn w:val="664"/>
    <w:next w:val="664"/>
    <w:uiPriority w:val="39"/>
    <w:qFormat/>
    <w:pPr>
      <w:jc w:val="left"/>
      <w:spacing w:before="120" w:after="120" w:line="300" w:lineRule="exact"/>
      <w:tabs>
        <w:tab w:val="right" w:pos="9440" w:leader="dot"/>
      </w:tabs>
    </w:pPr>
    <w:rPr>
      <w:rFonts w:ascii="黑体" w:eastAsia="黑体"/>
      <w:b/>
      <w:caps/>
      <w:sz w:val="18"/>
      <w:szCs w:val="28"/>
    </w:rPr>
  </w:style>
  <w:style w:type="paragraph" w:styleId="685">
    <w:name w:val="toc 4"/>
    <w:basedOn w:val="664"/>
    <w:next w:val="664"/>
    <w:uiPriority w:val="0"/>
    <w:semiHidden/>
    <w:qFormat/>
    <w:pPr>
      <w:ind w:left="1260"/>
    </w:pPr>
  </w:style>
  <w:style w:type="paragraph" w:styleId="686">
    <w:name w:val="Subtitle"/>
    <w:basedOn w:val="664"/>
    <w:next w:val="664"/>
    <w:link w:val="709"/>
    <w:uiPriority w:val="11"/>
    <w:qFormat/>
    <w:pPr>
      <w:spacing w:before="200" w:after="200"/>
    </w:pPr>
    <w:rPr>
      <w:sz w:val="24"/>
    </w:rPr>
  </w:style>
  <w:style w:type="paragraph" w:styleId="687">
    <w:name w:val="footnote text"/>
    <w:basedOn w:val="664"/>
    <w:link w:val="842"/>
    <w:uiPriority w:val="99"/>
    <w:semiHidden/>
    <w:unhideWhenUsed/>
    <w:qFormat/>
    <w:pPr>
      <w:spacing w:after="40"/>
    </w:pPr>
    <w:rPr>
      <w:sz w:val="18"/>
    </w:rPr>
  </w:style>
  <w:style w:type="paragraph" w:styleId="688">
    <w:name w:val="toc 6"/>
    <w:basedOn w:val="664"/>
    <w:next w:val="664"/>
    <w:uiPriority w:val="0"/>
    <w:semiHidden/>
    <w:qFormat/>
    <w:pPr>
      <w:ind w:left="2100"/>
    </w:pPr>
  </w:style>
  <w:style w:type="paragraph" w:styleId="689">
    <w:name w:val="table of figures"/>
    <w:basedOn w:val="664"/>
    <w:next w:val="664"/>
    <w:uiPriority w:val="99"/>
    <w:unhideWhenUsed/>
    <w:qFormat/>
  </w:style>
  <w:style w:type="paragraph" w:styleId="690">
    <w:name w:val="toc 2"/>
    <w:basedOn w:val="664"/>
    <w:next w:val="664"/>
    <w:uiPriority w:val="39"/>
    <w:qFormat/>
    <w:pPr>
      <w:jc w:val="left"/>
      <w:spacing w:line="260" w:lineRule="exact"/>
      <w:tabs>
        <w:tab w:val="right" w:pos="9440" w:leader="dot"/>
      </w:tabs>
    </w:pPr>
    <w:rPr>
      <w:rFonts w:ascii="黑体" w:eastAsia="黑体"/>
      <w:b/>
      <w:bCs/>
      <w:smallCaps/>
      <w:sz w:val="18"/>
      <w:szCs w:val="44"/>
    </w:rPr>
  </w:style>
  <w:style w:type="paragraph" w:styleId="691">
    <w:name w:val="toc 9"/>
    <w:basedOn w:val="664"/>
    <w:next w:val="664"/>
    <w:uiPriority w:val="0"/>
    <w:semiHidden/>
    <w:qFormat/>
    <w:pPr>
      <w:ind w:left="3360"/>
    </w:pPr>
  </w:style>
  <w:style w:type="paragraph" w:styleId="692">
    <w:name w:val="Title"/>
    <w:basedOn w:val="664"/>
    <w:next w:val="664"/>
    <w:link w:val="708"/>
    <w:uiPriority w:val="10"/>
    <w:qFormat/>
    <w:pPr>
      <w:contextualSpacing/>
      <w:spacing w:before="300" w:after="200"/>
    </w:pPr>
    <w:rPr>
      <w:sz w:val="48"/>
      <w:szCs w:val="48"/>
    </w:rPr>
  </w:style>
  <w:style w:type="table" w:styleId="69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4">
    <w:name w:val="endnote reference"/>
    <w:uiPriority w:val="99"/>
    <w:semiHidden/>
    <w:unhideWhenUsed/>
    <w:qFormat/>
    <w:rPr>
      <w:vertAlign w:val="superscript"/>
    </w:rPr>
  </w:style>
  <w:style w:type="character" w:styleId="695">
    <w:name w:val="Hyperlink"/>
    <w:uiPriority w:val="99"/>
    <w:unhideWhenUsed/>
    <w:qFormat/>
    <w:rPr>
      <w:color w:val="0000ff" w:themeColor="hyperlink"/>
      <w:u w:val="single"/>
      <w14:textFill>
        <w14:solidFill>
          <w14:schemeClr w14:val="hlink"/>
        </w14:solidFill>
      </w14:textFill>
    </w:rPr>
  </w:style>
  <w:style w:type="character" w:styleId="696">
    <w:name w:val="footnote reference"/>
    <w:uiPriority w:val="99"/>
    <w:unhideWhenUsed/>
    <w:qFormat/>
    <w:rPr>
      <w:vertAlign w:val="superscript"/>
    </w:rPr>
  </w:style>
  <w:style w:type="character" w:styleId="697" w:customStyle="1">
    <w:name w:val="标题 1 字符1"/>
    <w:link w:val="665"/>
    <w:uiPriority w:val="9"/>
    <w:qFormat/>
    <w:rPr>
      <w:rFonts w:ascii="Arial" w:hAnsi="Arial" w:eastAsia="Arial" w:cs="Arial"/>
      <w:sz w:val="40"/>
      <w:szCs w:val="40"/>
    </w:rPr>
  </w:style>
  <w:style w:type="character" w:styleId="698" w:customStyle="1">
    <w:name w:val="标题 2 字符1"/>
    <w:link w:val="666"/>
    <w:uiPriority w:val="9"/>
    <w:qFormat/>
    <w:rPr>
      <w:rFonts w:ascii="Arial" w:hAnsi="Arial" w:eastAsia="Arial" w:cs="Arial"/>
      <w:sz w:val="34"/>
    </w:rPr>
  </w:style>
  <w:style w:type="character" w:styleId="699" w:customStyle="1">
    <w:name w:val="标题 3 字符1"/>
    <w:link w:val="667"/>
    <w:uiPriority w:val="9"/>
    <w:qFormat/>
    <w:rPr>
      <w:rFonts w:ascii="Arial" w:hAnsi="Arial" w:eastAsia="Arial" w:cs="Arial"/>
      <w:sz w:val="30"/>
      <w:szCs w:val="30"/>
    </w:rPr>
  </w:style>
  <w:style w:type="character" w:styleId="700" w:customStyle="1">
    <w:name w:val="标题 4 字符1"/>
    <w:link w:val="668"/>
    <w:uiPriority w:val="9"/>
    <w:qFormat/>
    <w:rPr>
      <w:rFonts w:ascii="Arial" w:hAnsi="Arial" w:eastAsia="Arial" w:cs="Arial"/>
      <w:b/>
      <w:bCs/>
      <w:sz w:val="26"/>
      <w:szCs w:val="26"/>
    </w:rPr>
  </w:style>
  <w:style w:type="character" w:styleId="701" w:customStyle="1">
    <w:name w:val="标题 5 字符1"/>
    <w:link w:val="669"/>
    <w:uiPriority w:val="9"/>
    <w:qFormat/>
    <w:rPr>
      <w:rFonts w:ascii="Arial" w:hAnsi="Arial" w:eastAsia="Arial" w:cs="Arial"/>
      <w:b/>
      <w:bCs/>
      <w:sz w:val="24"/>
      <w:szCs w:val="24"/>
    </w:rPr>
  </w:style>
  <w:style w:type="character" w:styleId="702" w:customStyle="1">
    <w:name w:val="标题 6 字符1"/>
    <w:link w:val="670"/>
    <w:uiPriority w:val="9"/>
    <w:qFormat/>
    <w:rPr>
      <w:rFonts w:ascii="Arial" w:hAnsi="Arial" w:eastAsia="Arial" w:cs="Arial"/>
      <w:b/>
      <w:bCs/>
      <w:sz w:val="22"/>
      <w:szCs w:val="22"/>
    </w:rPr>
  </w:style>
  <w:style w:type="character" w:styleId="703" w:customStyle="1">
    <w:name w:val="标题 7 字符1"/>
    <w:link w:val="671"/>
    <w:uiPriority w:val="9"/>
    <w:qFormat/>
    <w:rPr>
      <w:rFonts w:ascii="Arial" w:hAnsi="Arial" w:eastAsia="Arial" w:cs="Arial"/>
      <w:b/>
      <w:bCs/>
      <w:i/>
      <w:iCs/>
      <w:sz w:val="22"/>
      <w:szCs w:val="22"/>
    </w:rPr>
  </w:style>
  <w:style w:type="character" w:styleId="704" w:customStyle="1">
    <w:name w:val="标题 8 字符1"/>
    <w:link w:val="672"/>
    <w:uiPriority w:val="9"/>
    <w:qFormat/>
    <w:rPr>
      <w:rFonts w:ascii="Arial" w:hAnsi="Arial" w:eastAsia="Arial" w:cs="Arial"/>
      <w:i/>
      <w:iCs/>
      <w:sz w:val="22"/>
      <w:szCs w:val="22"/>
    </w:rPr>
  </w:style>
  <w:style w:type="character" w:styleId="705" w:customStyle="1">
    <w:name w:val="标题 9 字符1"/>
    <w:link w:val="673"/>
    <w:uiPriority w:val="9"/>
    <w:qFormat/>
    <w:rPr>
      <w:rFonts w:ascii="Arial" w:hAnsi="Arial" w:eastAsia="Arial" w:cs="Arial"/>
      <w:i/>
      <w:iCs/>
      <w:sz w:val="21"/>
      <w:szCs w:val="21"/>
    </w:rPr>
  </w:style>
  <w:style w:type="paragraph" w:styleId="706">
    <w:name w:val="List Paragraph"/>
    <w:basedOn w:val="664"/>
    <w:uiPriority w:val="34"/>
    <w:qFormat/>
    <w:pPr>
      <w:contextualSpacing/>
      <w:ind w:left="720"/>
    </w:pPr>
  </w:style>
  <w:style w:type="paragraph" w:styleId="707">
    <w:name w:val="No Spacing"/>
    <w:uiPriority w:val="1"/>
    <w:qFormat/>
    <w:rPr>
      <w:rFonts w:ascii="Calibri" w:hAnsi="Calibri" w:eastAsia="宋体" w:cs="Times New Roman"/>
      <w:lang w:val="en-US" w:eastAsia="zh-CN" w:bidi="ar-SA"/>
    </w:rPr>
  </w:style>
  <w:style w:type="character" w:styleId="708" w:customStyle="1">
    <w:name w:val="标题 字符2"/>
    <w:link w:val="692"/>
    <w:uiPriority w:val="10"/>
    <w:qFormat/>
    <w:rPr>
      <w:sz w:val="48"/>
      <w:szCs w:val="48"/>
    </w:rPr>
  </w:style>
  <w:style w:type="character" w:styleId="709" w:customStyle="1">
    <w:name w:val="副标题 字符2"/>
    <w:link w:val="686"/>
    <w:uiPriority w:val="11"/>
    <w:qFormat/>
    <w:rPr>
      <w:sz w:val="24"/>
      <w:szCs w:val="24"/>
    </w:rPr>
  </w:style>
  <w:style w:type="paragraph" w:styleId="710">
    <w:name w:val="Quote"/>
    <w:basedOn w:val="664"/>
    <w:next w:val="664"/>
    <w:link w:val="711"/>
    <w:uiPriority w:val="29"/>
    <w:qFormat/>
    <w:pPr>
      <w:ind w:left="720" w:right="720"/>
    </w:pPr>
    <w:rPr>
      <w:i/>
    </w:rPr>
  </w:style>
  <w:style w:type="character" w:styleId="711" w:customStyle="1">
    <w:name w:val="引用 字符2"/>
    <w:link w:val="710"/>
    <w:uiPriority w:val="29"/>
    <w:qFormat/>
    <w:rPr>
      <w:i/>
    </w:rPr>
  </w:style>
  <w:style w:type="paragraph" w:styleId="712">
    <w:name w:val="Intense Quote"/>
    <w:basedOn w:val="664"/>
    <w:next w:val="664"/>
    <w:link w:val="7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customStyle="1">
    <w:name w:val="明显引用 字符2"/>
    <w:link w:val="712"/>
    <w:uiPriority w:val="30"/>
    <w:qFormat/>
    <w:rPr>
      <w:i/>
    </w:rPr>
  </w:style>
  <w:style w:type="character" w:styleId="714" w:customStyle="1">
    <w:name w:val="页眉 字符1"/>
    <w:link w:val="683"/>
    <w:uiPriority w:val="99"/>
    <w:qFormat/>
  </w:style>
  <w:style w:type="character" w:styleId="715" w:customStyle="1">
    <w:name w:val="Footer Char"/>
    <w:uiPriority w:val="99"/>
    <w:qFormat/>
  </w:style>
  <w:style w:type="character" w:styleId="716" w:customStyle="1">
    <w:name w:val="页脚 字符1"/>
    <w:link w:val="682"/>
    <w:uiPriority w:val="99"/>
    <w:qFormat/>
  </w:style>
  <w:style w:type="table" w:styleId="71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7" w:customStyle="1">
    <w:name w:val="网格表 31"/>
    <w:uiPriority w:val="39"/>
    <w:qFormat/>
    <w:pPr>
      <w:jc w:val="left"/>
      <w:keepLines/>
      <w:spacing w:before="240" w:line="259" w:lineRule="auto"/>
      <w:widowControl/>
      <w:outlineLvl w:val="9"/>
    </w:pPr>
    <w:rPr>
      <w:rFonts w:ascii="等线 Light" w:hAnsi="等线 Light" w:eastAsia="等线 Light"/>
      <w:color w:val="2f5496"/>
      <w:sz w:val="32"/>
      <w:szCs w:val="32"/>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6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2" w:customStyle="1">
    <w:name w:val="脚注文本 字符1"/>
    <w:link w:val="687"/>
    <w:uiPriority w:val="99"/>
    <w:qFormat/>
    <w:rPr>
      <w:sz w:val="18"/>
    </w:rPr>
  </w:style>
  <w:style w:type="character" w:styleId="843" w:customStyle="1">
    <w:name w:val="尾注文本 字符1"/>
    <w:link w:val="681"/>
    <w:uiPriority w:val="99"/>
    <w:qFormat/>
    <w:rPr>
      <w:sz w:val="20"/>
    </w:rPr>
  </w:style>
  <w:style w:type="paragraph" w:styleId="844" w:customStyle="1">
    <w:name w:val="TOC 标题1"/>
    <w:uiPriority w:val="39"/>
    <w:unhideWhenUsed/>
    <w:qFormat/>
    <w:rPr>
      <w:rFonts w:ascii="Calibri" w:hAnsi="Calibri" w:eastAsia="宋体" w:cs="Times New Roman"/>
      <w:lang w:val="en-US" w:eastAsia="zh-CN" w:bidi="ar-SA"/>
    </w:rPr>
  </w:style>
  <w:style w:type="paragraph" w:styleId="845" w:customStyle="1">
    <w:name w:val="标题 11"/>
    <w:basedOn w:val="664"/>
    <w:next w:val="664"/>
    <w:link w:val="908"/>
    <w:uiPriority w:val="0"/>
    <w:qFormat/>
    <w:pPr>
      <w:keepNext/>
      <w:outlineLvl w:val="0"/>
    </w:pPr>
    <w:rPr>
      <w:rFonts w:ascii="楷体_GB2312" w:eastAsia="楷体_GB2312"/>
      <w:sz w:val="28"/>
      <w:szCs w:val="20"/>
    </w:rPr>
  </w:style>
  <w:style w:type="paragraph" w:styleId="846" w:customStyle="1">
    <w:name w:val="标题 21"/>
    <w:basedOn w:val="664"/>
    <w:next w:val="847"/>
    <w:link w:val="879"/>
    <w:uiPriority w:val="0"/>
    <w:qFormat/>
    <w:pPr>
      <w:jc w:val="center"/>
      <w:keepLines/>
      <w:keepNext/>
      <w:spacing w:before="260" w:after="260" w:line="416" w:lineRule="auto"/>
      <w:outlineLvl w:val="1"/>
    </w:pPr>
    <w:rPr>
      <w:rFonts w:ascii="Arial" w:hAnsi="Arial" w:eastAsia="幼圆"/>
      <w:b/>
      <w:sz w:val="44"/>
      <w:szCs w:val="20"/>
      <w:lang w:eastAsia="en-US"/>
    </w:rPr>
  </w:style>
  <w:style w:type="paragraph" w:styleId="847" w:customStyle="1">
    <w:name w:val="正文缩进11"/>
    <w:basedOn w:val="664"/>
    <w:link w:val="877"/>
    <w:uiPriority w:val="0"/>
    <w:qFormat/>
    <w:pPr>
      <w:ind w:firstLine="420"/>
    </w:pPr>
    <w:rPr>
      <w:szCs w:val="20"/>
    </w:rPr>
  </w:style>
  <w:style w:type="paragraph" w:styleId="848" w:customStyle="1">
    <w:name w:val="标题 311"/>
    <w:basedOn w:val="664"/>
    <w:next w:val="847"/>
    <w:link w:val="866"/>
    <w:uiPriority w:val="0"/>
    <w:qFormat/>
    <w:pPr>
      <w:keepLines/>
      <w:keepNext/>
      <w:spacing w:before="260" w:after="260" w:line="416" w:lineRule="auto"/>
      <w:outlineLvl w:val="2"/>
    </w:pPr>
    <w:rPr>
      <w:b/>
      <w:sz w:val="32"/>
      <w:szCs w:val="20"/>
      <w:lang w:eastAsia="en-US"/>
    </w:rPr>
  </w:style>
  <w:style w:type="paragraph" w:styleId="849" w:customStyle="1">
    <w:name w:val="标题 411"/>
    <w:basedOn w:val="664"/>
    <w:next w:val="847"/>
    <w:link w:val="876"/>
    <w:uiPriority w:val="0"/>
    <w:qFormat/>
    <w:pPr>
      <w:keepLines/>
      <w:keepNext/>
      <w:spacing w:before="280" w:after="290" w:line="376" w:lineRule="auto"/>
      <w:outlineLvl w:val="3"/>
    </w:pPr>
    <w:rPr>
      <w:rFonts w:ascii="Arial" w:hAnsi="Arial" w:eastAsia="黑体"/>
      <w:b/>
      <w:bCs/>
      <w:sz w:val="28"/>
      <w:szCs w:val="28"/>
      <w:lang w:eastAsia="en-US"/>
    </w:rPr>
  </w:style>
  <w:style w:type="paragraph" w:styleId="850" w:customStyle="1">
    <w:name w:val="标题 51"/>
    <w:basedOn w:val="664"/>
    <w:next w:val="664"/>
    <w:link w:val="895"/>
    <w:uiPriority w:val="0"/>
    <w:qFormat/>
    <w:pPr>
      <w:keepNext/>
      <w:outlineLvl w:val="4"/>
    </w:pPr>
    <w:rPr>
      <w:rFonts w:ascii="宋体" w:hAnsi="宋体"/>
      <w:b/>
      <w:bCs/>
      <w:lang w:eastAsia="en-US"/>
    </w:rPr>
  </w:style>
  <w:style w:type="paragraph" w:styleId="851" w:customStyle="1">
    <w:name w:val="标题 61"/>
    <w:basedOn w:val="664"/>
    <w:next w:val="664"/>
    <w:link w:val="892"/>
    <w:uiPriority w:val="0"/>
    <w:qFormat/>
    <w:pPr>
      <w:keepLines/>
      <w:keepNext/>
      <w:spacing w:before="240" w:after="64" w:line="320" w:lineRule="auto"/>
      <w:outlineLvl w:val="5"/>
    </w:pPr>
    <w:rPr>
      <w:rFonts w:ascii="Arial" w:hAnsi="Arial" w:eastAsia="黑体"/>
      <w:b/>
      <w:bCs/>
      <w:sz w:val="24"/>
      <w:lang w:eastAsia="en-US"/>
    </w:rPr>
  </w:style>
  <w:style w:type="paragraph" w:styleId="852" w:customStyle="1">
    <w:name w:val="标题 71"/>
    <w:basedOn w:val="664"/>
    <w:next w:val="664"/>
    <w:link w:val="878"/>
    <w:uiPriority w:val="0"/>
    <w:qFormat/>
    <w:pPr>
      <w:keepLines/>
      <w:keepNext/>
      <w:spacing w:before="240" w:after="64" w:line="320" w:lineRule="auto"/>
      <w:outlineLvl w:val="6"/>
    </w:pPr>
    <w:rPr>
      <w:rFonts w:ascii="Times New Roman" w:hAnsi="Times New Roman"/>
      <w:b/>
      <w:bCs/>
      <w:sz w:val="24"/>
      <w:lang w:eastAsia="en-US"/>
    </w:rPr>
  </w:style>
  <w:style w:type="paragraph" w:styleId="853" w:customStyle="1">
    <w:name w:val="标题 81"/>
    <w:basedOn w:val="664"/>
    <w:next w:val="664"/>
    <w:link w:val="865"/>
    <w:uiPriority w:val="0"/>
    <w:qFormat/>
    <w:pPr>
      <w:keepLines/>
      <w:keepNext/>
      <w:spacing w:before="240" w:after="64" w:line="320" w:lineRule="auto"/>
      <w:outlineLvl w:val="7"/>
    </w:pPr>
    <w:rPr>
      <w:rFonts w:ascii="Arial" w:hAnsi="Arial" w:eastAsia="黑体"/>
      <w:sz w:val="24"/>
      <w:lang w:eastAsia="en-US"/>
    </w:rPr>
  </w:style>
  <w:style w:type="paragraph" w:styleId="854" w:customStyle="1">
    <w:name w:val="标题 91"/>
    <w:basedOn w:val="664"/>
    <w:next w:val="664"/>
    <w:link w:val="880"/>
    <w:uiPriority w:val="0"/>
    <w:qFormat/>
    <w:pPr>
      <w:keepLines/>
      <w:keepNext/>
      <w:spacing w:before="240" w:after="64" w:line="320" w:lineRule="auto"/>
      <w:outlineLvl w:val="8"/>
    </w:pPr>
    <w:rPr>
      <w:rFonts w:ascii="Arial" w:hAnsi="Arial" w:eastAsia="黑体"/>
      <w:szCs w:val="21"/>
      <w:lang w:eastAsia="en-US"/>
    </w:rPr>
  </w:style>
  <w:style w:type="character" w:styleId="855" w:customStyle="1">
    <w:name w:val="默认段落字体1"/>
    <w:uiPriority w:val="0"/>
    <w:semiHidden/>
    <w:qFormat/>
  </w:style>
  <w:style w:type="table" w:styleId="856" w:customStyle="1">
    <w:name w:val="普通表格1"/>
    <w:uiPriority w:val="0"/>
    <w:semiHidden/>
    <w:qFormat/>
    <w:tblPr>
      <w:tblCellMar>
        <w:left w:w="0" w:type="dxa"/>
        <w:top w:w="0" w:type="dxa"/>
        <w:right w:w="0" w:type="dxa"/>
        <w:bottom w:w="0" w:type="dxa"/>
      </w:tblCellMar>
    </w:tblPr>
  </w:style>
  <w:style w:type="character" w:styleId="857" w:customStyle="1">
    <w:name w:val="访问过的超链接1"/>
    <w:uiPriority w:val="0"/>
    <w:qFormat/>
    <w:rPr>
      <w:color w:val="800080"/>
      <w:u w:val="single"/>
    </w:rPr>
  </w:style>
  <w:style w:type="character" w:styleId="858" w:customStyle="1">
    <w:name w:val="要点1"/>
    <w:uiPriority w:val="0"/>
    <w:qFormat/>
    <w:rPr>
      <w:b/>
      <w:bCs/>
    </w:rPr>
  </w:style>
  <w:style w:type="character" w:styleId="859" w:customStyle="1">
    <w:name w:val="超链接1"/>
    <w:uiPriority w:val="99"/>
    <w:qFormat/>
    <w:rPr>
      <w:color w:val="0000ff"/>
      <w:u w:val="single"/>
    </w:rPr>
  </w:style>
  <w:style w:type="character" w:styleId="860" w:customStyle="1">
    <w:name w:val="页码11"/>
    <w:basedOn w:val="855"/>
    <w:uiPriority w:val="0"/>
    <w:qFormat/>
  </w:style>
  <w:style w:type="character" w:styleId="861" w:customStyle="1">
    <w:name w:val="批注引用11"/>
    <w:uiPriority w:val="0"/>
    <w:qFormat/>
    <w:rPr>
      <w:sz w:val="21"/>
      <w:szCs w:val="21"/>
    </w:rPr>
  </w:style>
  <w:style w:type="character" w:styleId="862" w:customStyle="1">
    <w:name w:val="日期 字符"/>
    <w:link w:val="863"/>
    <w:uiPriority w:val="0"/>
    <w:qFormat/>
    <w:rPr>
      <w:sz w:val="24"/>
    </w:rPr>
  </w:style>
  <w:style w:type="paragraph" w:styleId="863" w:customStyle="1">
    <w:name w:val="日期1"/>
    <w:basedOn w:val="664"/>
    <w:next w:val="664"/>
    <w:link w:val="862"/>
    <w:uiPriority w:val="0"/>
    <w:qFormat/>
    <w:rPr>
      <w:sz w:val="24"/>
      <w:szCs w:val="20"/>
      <w:lang w:eastAsia="en-US"/>
    </w:rPr>
  </w:style>
  <w:style w:type="character" w:styleId="864" w:customStyle="1">
    <w:name w:val="标题2 Char"/>
    <w:uiPriority w:val="0"/>
    <w:qFormat/>
    <w:rPr>
      <w:rFonts w:ascii="方正楷体_GBK" w:hAnsi="Book Antiqua" w:eastAsia="方正楷体_GBK"/>
      <w:sz w:val="32"/>
      <w:lang w:val="en-US" w:eastAsia="zh-CN" w:bidi="ar-SA"/>
    </w:rPr>
  </w:style>
  <w:style w:type="character" w:styleId="865" w:customStyle="1">
    <w:name w:val="标题 8 字符"/>
    <w:link w:val="853"/>
    <w:uiPriority w:val="0"/>
    <w:qFormat/>
    <w:rPr>
      <w:rFonts w:ascii="Arial" w:hAnsi="Arial" w:eastAsia="黑体"/>
      <w:sz w:val="24"/>
      <w:szCs w:val="24"/>
    </w:rPr>
  </w:style>
  <w:style w:type="character" w:styleId="866" w:customStyle="1">
    <w:name w:val="标题 3 字符"/>
    <w:link w:val="848"/>
    <w:uiPriority w:val="0"/>
    <w:qFormat/>
    <w:rPr>
      <w:b/>
      <w:sz w:val="32"/>
    </w:rPr>
  </w:style>
  <w:style w:type="character" w:styleId="867" w:customStyle="1">
    <w:name w:val="批注主题 字符"/>
    <w:link w:val="868"/>
    <w:uiPriority w:val="0"/>
    <w:qFormat/>
    <w:rPr>
      <w:b/>
      <w:bCs/>
      <w:sz w:val="21"/>
      <w:szCs w:val="24"/>
    </w:rPr>
  </w:style>
  <w:style w:type="paragraph" w:styleId="868" w:customStyle="1">
    <w:name w:val="批注主题1"/>
    <w:basedOn w:val="869"/>
    <w:next w:val="869"/>
    <w:link w:val="867"/>
    <w:uiPriority w:val="0"/>
    <w:qFormat/>
    <w:rPr>
      <w:b/>
      <w:bCs/>
    </w:rPr>
  </w:style>
  <w:style w:type="paragraph" w:styleId="869" w:customStyle="1">
    <w:name w:val="批注文字1"/>
    <w:basedOn w:val="664"/>
    <w:link w:val="897"/>
    <w:uiPriority w:val="99"/>
    <w:qFormat/>
    <w:pPr>
      <w:jc w:val="left"/>
    </w:pPr>
    <w:rPr>
      <w:lang w:eastAsia="en-US"/>
    </w:rPr>
  </w:style>
  <w:style w:type="character" w:styleId="870" w:customStyle="1">
    <w:name w:val="正文文本首行缩进 2 字符"/>
    <w:link w:val="871"/>
    <w:uiPriority w:val="0"/>
    <w:qFormat/>
    <w:rPr>
      <w:rFonts w:ascii="宋体" w:hAnsi="宋体" w:eastAsia="楷体_GB2312"/>
      <w:sz w:val="21"/>
    </w:rPr>
  </w:style>
  <w:style w:type="paragraph" w:styleId="871" w:customStyle="1">
    <w:name w:val="正文文本首行缩进 2"/>
    <w:basedOn w:val="872"/>
    <w:link w:val="870"/>
    <w:uiPriority w:val="0"/>
    <w:qFormat/>
    <w:pPr>
      <w:ind w:firstLine="420"/>
      <w:spacing w:line="360" w:lineRule="auto"/>
    </w:pPr>
    <w:rPr>
      <w:rFonts w:ascii="宋体" w:hAnsi="宋体"/>
      <w:sz w:val="21"/>
    </w:rPr>
  </w:style>
  <w:style w:type="paragraph" w:styleId="872" w:customStyle="1">
    <w:name w:val="正文文本缩进11"/>
    <w:basedOn w:val="664"/>
    <w:link w:val="898"/>
    <w:uiPriority w:val="0"/>
    <w:qFormat/>
    <w:pPr>
      <w:ind w:firstLine="645"/>
    </w:pPr>
    <w:rPr>
      <w:rFonts w:ascii="楷体_GB2312" w:eastAsia="楷体_GB2312"/>
      <w:sz w:val="32"/>
      <w:szCs w:val="20"/>
      <w:lang w:eastAsia="en-US"/>
    </w:rPr>
  </w:style>
  <w:style w:type="character" w:styleId="873" w:customStyle="1">
    <w:name w:val="font5 Char"/>
    <w:uiPriority w:val="0"/>
    <w:qFormat/>
    <w:rPr>
      <w:rFonts w:ascii="宋体" w:hAnsi="宋体" w:eastAsia="宋体"/>
      <w:sz w:val="28"/>
      <w:szCs w:val="28"/>
      <w:lang w:val="en-US" w:eastAsia="zh-CN" w:bidi="ar-SA"/>
    </w:rPr>
  </w:style>
  <w:style w:type="character" w:styleId="874" w:customStyle="1">
    <w:name w:val="正文文本 3 字符"/>
    <w:link w:val="875"/>
    <w:uiPriority w:val="0"/>
    <w:qFormat/>
    <w:rPr>
      <w:rFonts w:ascii="仿宋_GB2312" w:hAnsi="Arial" w:eastAsia="仿宋_GB2312"/>
      <w:sz w:val="32"/>
    </w:rPr>
  </w:style>
  <w:style w:type="paragraph" w:styleId="875" w:customStyle="1">
    <w:name w:val="正文文本 311"/>
    <w:basedOn w:val="664"/>
    <w:link w:val="874"/>
    <w:uiPriority w:val="0"/>
    <w:qFormat/>
    <w:rPr>
      <w:rFonts w:ascii="仿宋_GB2312" w:hAnsi="Arial" w:eastAsia="仿宋_GB2312"/>
      <w:sz w:val="32"/>
      <w:szCs w:val="20"/>
      <w:lang w:eastAsia="en-US"/>
    </w:rPr>
  </w:style>
  <w:style w:type="character" w:styleId="876" w:customStyle="1">
    <w:name w:val="标题 4 字符"/>
    <w:link w:val="849"/>
    <w:uiPriority w:val="0"/>
    <w:qFormat/>
    <w:rPr>
      <w:rFonts w:ascii="Arial" w:hAnsi="Arial" w:eastAsia="黑体"/>
      <w:b/>
      <w:bCs/>
      <w:sz w:val="28"/>
      <w:szCs w:val="28"/>
    </w:rPr>
  </w:style>
  <w:style w:type="character" w:styleId="877" w:customStyle="1">
    <w:name w:val="正文缩进 字符"/>
    <w:link w:val="847"/>
    <w:uiPriority w:val="0"/>
    <w:qFormat/>
    <w:rPr>
      <w:rFonts w:eastAsia="宋体"/>
      <w:sz w:val="21"/>
      <w:lang w:val="en-US" w:eastAsia="zh-CN" w:bidi="ar-SA"/>
    </w:rPr>
  </w:style>
  <w:style w:type="character" w:styleId="878" w:customStyle="1">
    <w:name w:val="标题 7 字符"/>
    <w:link w:val="852"/>
    <w:uiPriority w:val="0"/>
    <w:qFormat/>
    <w:rPr>
      <w:rFonts w:ascii="Times New Roman" w:hAnsi="Times New Roman"/>
      <w:b/>
      <w:bCs/>
      <w:sz w:val="24"/>
      <w:szCs w:val="24"/>
    </w:rPr>
  </w:style>
  <w:style w:type="character" w:styleId="879" w:customStyle="1">
    <w:name w:val="标题 2 字符"/>
    <w:link w:val="846"/>
    <w:uiPriority w:val="0"/>
    <w:qFormat/>
    <w:rPr>
      <w:rFonts w:ascii="Arial" w:hAnsi="Arial" w:eastAsia="幼圆"/>
      <w:b/>
      <w:sz w:val="44"/>
    </w:rPr>
  </w:style>
  <w:style w:type="character" w:styleId="880" w:customStyle="1">
    <w:name w:val="标题 9 字符"/>
    <w:link w:val="854"/>
    <w:uiPriority w:val="0"/>
    <w:qFormat/>
    <w:rPr>
      <w:rFonts w:ascii="Arial" w:hAnsi="Arial" w:eastAsia="黑体"/>
      <w:sz w:val="21"/>
      <w:szCs w:val="21"/>
    </w:rPr>
  </w:style>
  <w:style w:type="character" w:styleId="881" w:customStyle="1">
    <w:name w:val="页脚 字符"/>
    <w:link w:val="882"/>
    <w:uiPriority w:val="99"/>
    <w:qFormat/>
    <w:rPr>
      <w:sz w:val="18"/>
    </w:rPr>
  </w:style>
  <w:style w:type="paragraph" w:styleId="882" w:customStyle="1">
    <w:name w:val="页脚1"/>
    <w:basedOn w:val="664"/>
    <w:link w:val="881"/>
    <w:uiPriority w:val="99"/>
    <w:qFormat/>
    <w:pPr>
      <w:jc w:val="left"/>
      <w:tabs>
        <w:tab w:val="center" w:pos="4153" w:leader="none"/>
        <w:tab w:val="right" w:pos="8306" w:leader="none"/>
      </w:tabs>
    </w:pPr>
    <w:rPr>
      <w:sz w:val="18"/>
      <w:szCs w:val="20"/>
      <w:lang w:eastAsia="en-US"/>
    </w:rPr>
  </w:style>
  <w:style w:type="character" w:styleId="883" w:customStyle="1">
    <w:name w:val="普通正文 Char"/>
    <w:link w:val="884"/>
    <w:uiPriority w:val="0"/>
    <w:qFormat/>
    <w:rPr>
      <w:rFonts w:ascii="Arial" w:hAnsi="Arial"/>
      <w:sz w:val="24"/>
      <w:szCs w:val="24"/>
    </w:rPr>
  </w:style>
  <w:style w:type="paragraph" w:styleId="884" w:customStyle="1">
    <w:name w:val="普通正文"/>
    <w:basedOn w:val="664"/>
    <w:link w:val="883"/>
    <w:uiPriority w:val="0"/>
    <w:qFormat/>
    <w:pPr>
      <w:ind w:firstLine="480"/>
      <w:jc w:val="left"/>
      <w:spacing w:before="120" w:after="120" w:line="360" w:lineRule="auto"/>
    </w:pPr>
    <w:rPr>
      <w:rFonts w:ascii="Arial" w:hAnsi="Arial"/>
      <w:sz w:val="24"/>
      <w:lang w:eastAsia="en-US"/>
    </w:rPr>
  </w:style>
  <w:style w:type="character" w:styleId="885" w:customStyle="1">
    <w:name w:val="纯文本 字符"/>
    <w:link w:val="886"/>
    <w:uiPriority w:val="0"/>
    <w:qFormat/>
    <w:rPr>
      <w:rFonts w:ascii="宋体" w:hAnsi="Courier New"/>
      <w:sz w:val="21"/>
    </w:rPr>
  </w:style>
  <w:style w:type="paragraph" w:styleId="886" w:customStyle="1">
    <w:name w:val="纯文本11"/>
    <w:basedOn w:val="664"/>
    <w:link w:val="885"/>
    <w:uiPriority w:val="0"/>
    <w:qFormat/>
    <w:rPr>
      <w:rFonts w:ascii="宋体" w:hAnsi="Courier New"/>
      <w:szCs w:val="20"/>
      <w:lang w:eastAsia="en-US"/>
    </w:rPr>
  </w:style>
  <w:style w:type="character" w:styleId="887" w:customStyle="1">
    <w:name w:val="正文文本缩进 3 字符"/>
    <w:link w:val="888"/>
    <w:uiPriority w:val="0"/>
    <w:qFormat/>
    <w:rPr>
      <w:rFonts w:ascii="仿宋_GB2312" w:hAnsi="宋体" w:eastAsia="仿宋_GB2312"/>
      <w:sz w:val="24"/>
      <w:szCs w:val="24"/>
    </w:rPr>
  </w:style>
  <w:style w:type="paragraph" w:styleId="888" w:customStyle="1">
    <w:name w:val="正文文本缩进 31"/>
    <w:basedOn w:val="664"/>
    <w:link w:val="887"/>
    <w:uiPriority w:val="0"/>
    <w:qFormat/>
    <w:pPr>
      <w:ind w:firstLine="523"/>
    </w:pPr>
    <w:rPr>
      <w:rFonts w:ascii="仿宋_GB2312" w:hAnsi="宋体" w:eastAsia="仿宋_GB2312"/>
      <w:sz w:val="24"/>
      <w:lang w:eastAsia="en-US"/>
    </w:rPr>
  </w:style>
  <w:style w:type="character" w:styleId="889" w:customStyle="1">
    <w:name w:val="二级目录 Char"/>
    <w:link w:val="890"/>
    <w:uiPriority w:val="0"/>
    <w:qFormat/>
    <w:rPr>
      <w:b/>
      <w:sz w:val="30"/>
      <w:szCs w:val="28"/>
      <w:lang w:val="en-US" w:eastAsia="zh-CN" w:bidi="ar-SA"/>
    </w:rPr>
  </w:style>
  <w:style w:type="paragraph" w:styleId="890" w:customStyle="1">
    <w:name w:val="二级目录"/>
    <w:next w:val="664"/>
    <w:link w:val="889"/>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891" w:customStyle="1">
    <w:name w:val="正文文本缩进 字符"/>
    <w:uiPriority w:val="0"/>
    <w:qFormat/>
    <w:rPr>
      <w:rFonts w:ascii="楷体_GB2312" w:hAnsi="Times New Roman" w:eastAsia="楷体_GB2312" w:cs="Times New Roman"/>
      <w:sz w:val="32"/>
      <w:szCs w:val="32"/>
    </w:rPr>
  </w:style>
  <w:style w:type="character" w:styleId="892" w:customStyle="1">
    <w:name w:val="标题 6 字符"/>
    <w:link w:val="851"/>
    <w:uiPriority w:val="0"/>
    <w:qFormat/>
    <w:rPr>
      <w:rFonts w:ascii="Arial" w:hAnsi="Arial" w:eastAsia="黑体"/>
      <w:b/>
      <w:bCs/>
      <w:sz w:val="24"/>
      <w:szCs w:val="24"/>
    </w:rPr>
  </w:style>
  <w:style w:type="character" w:styleId="893" w:customStyle="1">
    <w:name w:val="正文文本 2 字符"/>
    <w:link w:val="894"/>
    <w:uiPriority w:val="99"/>
    <w:qFormat/>
    <w:rPr>
      <w:rFonts w:ascii="仿宋_GB2312" w:eastAsia="仿宋_GB2312"/>
      <w:sz w:val="44"/>
      <w:szCs w:val="24"/>
    </w:rPr>
  </w:style>
  <w:style w:type="paragraph" w:styleId="894" w:customStyle="1">
    <w:name w:val="正文文本 211"/>
    <w:basedOn w:val="664"/>
    <w:link w:val="893"/>
    <w:uiPriority w:val="99"/>
    <w:qFormat/>
    <w:pPr>
      <w:jc w:val="center"/>
    </w:pPr>
    <w:rPr>
      <w:rFonts w:ascii="仿宋_GB2312" w:eastAsia="仿宋_GB2312"/>
      <w:sz w:val="44"/>
      <w:lang w:eastAsia="en-US"/>
    </w:rPr>
  </w:style>
  <w:style w:type="character" w:styleId="895" w:customStyle="1">
    <w:name w:val="标题 5 字符"/>
    <w:link w:val="850"/>
    <w:uiPriority w:val="0"/>
    <w:qFormat/>
    <w:rPr>
      <w:rFonts w:ascii="宋体" w:hAnsi="宋体"/>
      <w:b/>
      <w:bCs/>
      <w:sz w:val="21"/>
      <w:szCs w:val="24"/>
    </w:rPr>
  </w:style>
  <w:style w:type="character" w:styleId="896" w:customStyle="1">
    <w:name w:val="纯文本 字符1"/>
    <w:uiPriority w:val="0"/>
    <w:qFormat/>
    <w:rPr>
      <w:rFonts w:ascii="等线" w:hAnsi="Courier New" w:cs="Courier New"/>
      <w:szCs w:val="21"/>
    </w:rPr>
  </w:style>
  <w:style w:type="character" w:styleId="897" w:customStyle="1">
    <w:name w:val="批注文字 字符"/>
    <w:link w:val="869"/>
    <w:uiPriority w:val="99"/>
    <w:qFormat/>
    <w:rPr>
      <w:sz w:val="21"/>
      <w:szCs w:val="24"/>
    </w:rPr>
  </w:style>
  <w:style w:type="character" w:styleId="898" w:customStyle="1">
    <w:name w:val="正文文本缩进 字符1"/>
    <w:link w:val="872"/>
    <w:uiPriority w:val="0"/>
    <w:qFormat/>
    <w:rPr>
      <w:rFonts w:ascii="楷体_GB2312" w:eastAsia="楷体_GB2312"/>
      <w:sz w:val="32"/>
    </w:rPr>
  </w:style>
  <w:style w:type="character" w:styleId="899" w:customStyle="1">
    <w:name w:val="正文文本 字符1"/>
    <w:link w:val="900"/>
    <w:uiPriority w:val="0"/>
    <w:qFormat/>
    <w:rPr>
      <w:rFonts w:ascii="楷体_GB2312" w:hAnsi="Arial" w:eastAsia="楷体_GB2312"/>
      <w:sz w:val="28"/>
    </w:rPr>
  </w:style>
  <w:style w:type="paragraph" w:styleId="900" w:customStyle="1">
    <w:name w:val="正文文本11"/>
    <w:basedOn w:val="664"/>
    <w:link w:val="899"/>
    <w:uiPriority w:val="0"/>
    <w:qFormat/>
    <w:rPr>
      <w:rFonts w:ascii="楷体_GB2312" w:hAnsi="Arial" w:eastAsia="楷体_GB2312"/>
      <w:sz w:val="28"/>
      <w:szCs w:val="20"/>
      <w:lang w:eastAsia="en-US"/>
    </w:rPr>
  </w:style>
  <w:style w:type="character" w:styleId="901" w:customStyle="1">
    <w:name w:val="正文文本首行缩进 字符"/>
    <w:link w:val="902"/>
    <w:uiPriority w:val="0"/>
    <w:qFormat/>
    <w:rPr>
      <w:rFonts w:ascii="仿宋_GB2312" w:hAnsi="Times New Roman" w:eastAsia="仿宋_GB2312"/>
      <w:sz w:val="30"/>
      <w:szCs w:val="30"/>
    </w:rPr>
  </w:style>
  <w:style w:type="paragraph" w:styleId="902" w:customStyle="1">
    <w:name w:val="正文文本首行缩进"/>
    <w:basedOn w:val="664"/>
    <w:link w:val="901"/>
    <w:uiPriority w:val="0"/>
    <w:qFormat/>
    <w:pPr>
      <w:ind w:firstLine="200"/>
      <w:spacing w:line="360" w:lineRule="auto"/>
    </w:pPr>
    <w:rPr>
      <w:rFonts w:ascii="仿宋_GB2312" w:hAnsi="Times New Roman" w:eastAsia="仿宋_GB2312"/>
      <w:sz w:val="30"/>
      <w:szCs w:val="30"/>
      <w:lang w:eastAsia="en-US"/>
    </w:rPr>
  </w:style>
  <w:style w:type="character" w:styleId="903" w:customStyle="1">
    <w:name w:val="列出段落 Char"/>
    <w:link w:val="904"/>
    <w:uiPriority w:val="34"/>
    <w:qFormat/>
    <w:rPr>
      <w:rFonts w:ascii="Calibri" w:hAnsi="Calibri"/>
      <w:sz w:val="24"/>
      <w:szCs w:val="24"/>
      <w:lang w:eastAsia="en-US" w:bidi="en-US"/>
    </w:rPr>
  </w:style>
  <w:style w:type="paragraph" w:styleId="904" w:customStyle="1">
    <w:name w:val="列出段落1"/>
    <w:basedOn w:val="664"/>
    <w:link w:val="903"/>
    <w:uiPriority w:val="99"/>
    <w:qFormat/>
    <w:pPr>
      <w:contextualSpacing/>
      <w:ind w:left="720"/>
      <w:jc w:val="left"/>
      <w:widowControl/>
    </w:pPr>
    <w:rPr>
      <w:sz w:val="24"/>
      <w:lang w:eastAsia="en-US" w:bidi="en-US"/>
    </w:rPr>
  </w:style>
  <w:style w:type="character" w:styleId="905" w:customStyle="1">
    <w:name w:val="jj1"/>
    <w:uiPriority w:val="0"/>
    <w:qFormat/>
    <w:rPr>
      <w:sz w:val="20"/>
      <w:szCs w:val="20"/>
      <w:u w:val="none"/>
    </w:rPr>
  </w:style>
  <w:style w:type="character" w:styleId="906" w:customStyle="1">
    <w:name w:val="页眉 字符"/>
    <w:link w:val="907"/>
    <w:uiPriority w:val="0"/>
    <w:qFormat/>
    <w:rPr>
      <w:sz w:val="18"/>
      <w:szCs w:val="18"/>
    </w:rPr>
  </w:style>
  <w:style w:type="paragraph" w:styleId="907" w:customStyle="1">
    <w:name w:val="页眉1"/>
    <w:basedOn w:val="664"/>
    <w:link w:val="906"/>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08" w:customStyle="1">
    <w:name w:val="标题 1 字符"/>
    <w:link w:val="845"/>
    <w:uiPriority w:val="0"/>
    <w:qFormat/>
    <w:rPr>
      <w:rFonts w:ascii="楷体_GB2312" w:eastAsia="楷体_GB2312"/>
      <w:sz w:val="28"/>
      <w:lang w:val="en-US" w:eastAsia="zh-CN" w:bidi="ar-SA"/>
    </w:rPr>
  </w:style>
  <w:style w:type="character" w:styleId="909" w:customStyle="1">
    <w:name w:val="正文文本 字符"/>
    <w:uiPriority w:val="0"/>
    <w:qFormat/>
    <w:rPr>
      <w:rFonts w:ascii="楷体_GB2312" w:hAnsi="Arial" w:eastAsia="楷体_GB2312" w:cs="Times New Roman"/>
      <w:sz w:val="28"/>
      <w:szCs w:val="28"/>
    </w:rPr>
  </w:style>
  <w:style w:type="character" w:styleId="910" w:customStyle="1">
    <w:name w:val="文档结构图 字符"/>
    <w:link w:val="911"/>
    <w:uiPriority w:val="0"/>
    <w:qFormat/>
    <w:rPr>
      <w:sz w:val="21"/>
      <w:szCs w:val="24"/>
      <w:shd w:val="clear" w:color="auto" w:fill="000080"/>
    </w:rPr>
  </w:style>
  <w:style w:type="paragraph" w:styleId="911" w:customStyle="1">
    <w:name w:val="文档结构图1"/>
    <w:basedOn w:val="664"/>
    <w:link w:val="910"/>
    <w:uiPriority w:val="0"/>
    <w:qFormat/>
    <w:pPr>
      <w:shd w:val="clear" w:color="auto" w:fill="000080"/>
    </w:pPr>
    <w:rPr>
      <w:lang w:eastAsia="en-US"/>
    </w:rPr>
  </w:style>
  <w:style w:type="character" w:styleId="912" w:customStyle="1">
    <w:name w:val="正文文本缩进 2 字符"/>
    <w:link w:val="913"/>
    <w:uiPriority w:val="99"/>
    <w:qFormat/>
    <w:rPr>
      <w:rFonts w:ascii="宋体" w:hAnsi="宋体"/>
      <w:sz w:val="28"/>
      <w:szCs w:val="24"/>
    </w:rPr>
  </w:style>
  <w:style w:type="paragraph" w:styleId="913" w:customStyle="1">
    <w:name w:val="正文文本缩进 211"/>
    <w:basedOn w:val="664"/>
    <w:link w:val="912"/>
    <w:uiPriority w:val="99"/>
    <w:qFormat/>
    <w:pPr>
      <w:ind w:firstLine="560"/>
    </w:pPr>
    <w:rPr>
      <w:rFonts w:ascii="宋体" w:hAnsi="宋体"/>
      <w:sz w:val="28"/>
      <w:lang w:eastAsia="en-US"/>
    </w:rPr>
  </w:style>
  <w:style w:type="character" w:styleId="914" w:customStyle="1">
    <w:name w:val="批注框文本 字符"/>
    <w:link w:val="915"/>
    <w:uiPriority w:val="0"/>
    <w:qFormat/>
    <w:rPr>
      <w:sz w:val="18"/>
      <w:szCs w:val="18"/>
    </w:rPr>
  </w:style>
  <w:style w:type="paragraph" w:styleId="915" w:customStyle="1">
    <w:name w:val="批注框文本1"/>
    <w:basedOn w:val="664"/>
    <w:link w:val="914"/>
    <w:uiPriority w:val="0"/>
    <w:qFormat/>
    <w:rPr>
      <w:sz w:val="18"/>
      <w:szCs w:val="18"/>
      <w:lang w:eastAsia="en-US"/>
    </w:rPr>
  </w:style>
  <w:style w:type="character" w:styleId="916" w:customStyle="1">
    <w:name w:val="纯文本 Char"/>
    <w:uiPriority w:val="0"/>
    <w:qFormat/>
    <w:rPr>
      <w:rFonts w:ascii="宋体" w:hAnsi="Courier New" w:cs="Courier New"/>
      <w:sz w:val="21"/>
      <w:szCs w:val="21"/>
    </w:rPr>
  </w:style>
  <w:style w:type="paragraph" w:styleId="917" w:customStyle="1">
    <w:name w:val="列表 21"/>
    <w:basedOn w:val="664"/>
    <w:uiPriority w:val="0"/>
    <w:qFormat/>
    <w:pPr>
      <w:ind w:left="100" w:hanging="200"/>
    </w:pPr>
    <w:rPr>
      <w:rFonts w:ascii="Times New Roman" w:hAnsi="Times New Roman"/>
      <w:szCs w:val="21"/>
    </w:rPr>
  </w:style>
  <w:style w:type="paragraph" w:styleId="918" w:customStyle="1">
    <w:name w:val="索引 11"/>
    <w:basedOn w:val="664"/>
    <w:next w:val="664"/>
    <w:uiPriority w:val="0"/>
    <w:qFormat/>
    <w:rPr>
      <w:rFonts w:ascii="宋体" w:hAnsi="宋体"/>
      <w:szCs w:val="18"/>
    </w:rPr>
  </w:style>
  <w:style w:type="paragraph" w:styleId="919" w:customStyle="1">
    <w:name w:val="HTML 预设格式1"/>
    <w:basedOn w:val="664"/>
    <w:link w:val="97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20" w:customStyle="1">
    <w:name w:val="列表1"/>
    <w:basedOn w:val="664"/>
    <w:uiPriority w:val="0"/>
    <w:qFormat/>
    <w:pPr>
      <w:ind w:left="200" w:hanging="200"/>
    </w:pPr>
    <w:rPr>
      <w:rFonts w:ascii="Times New Roman" w:hAnsi="Times New Roman"/>
      <w:szCs w:val="21"/>
    </w:rPr>
  </w:style>
  <w:style w:type="paragraph" w:styleId="921" w:customStyle="1">
    <w:name w:val="列表 31"/>
    <w:basedOn w:val="664"/>
    <w:uiPriority w:val="0"/>
    <w:qFormat/>
    <w:pPr>
      <w:ind w:left="100" w:hanging="200"/>
    </w:pPr>
    <w:rPr>
      <w:rFonts w:ascii="Times New Roman" w:hAnsi="Times New Roman"/>
      <w:szCs w:val="21"/>
    </w:rPr>
  </w:style>
  <w:style w:type="paragraph" w:styleId="922" w:customStyle="1">
    <w:name w:val="普通(网站)1"/>
    <w:basedOn w:val="664"/>
    <w:uiPriority w:val="99"/>
    <w:unhideWhenUsed/>
    <w:qFormat/>
    <w:pPr>
      <w:jc w:val="left"/>
      <w:spacing w:before="100" w:beforeAutospacing="1" w:after="100" w:afterAutospacing="1"/>
      <w:widowControl/>
    </w:pPr>
    <w:rPr>
      <w:rFonts w:ascii="宋体" w:hAnsi="宋体" w:cs="宋体"/>
      <w:sz w:val="24"/>
    </w:rPr>
  </w:style>
  <w:style w:type="paragraph" w:styleId="923" w:customStyle="1">
    <w:name w:val="图表目录1"/>
    <w:basedOn w:val="664"/>
    <w:next w:val="664"/>
    <w:uiPriority w:val="0"/>
    <w:qFormat/>
    <w:pPr>
      <w:ind w:left="840" w:hanging="420"/>
    </w:pPr>
    <w:rPr>
      <w:rFonts w:ascii="Times New Roman" w:hAnsi="Times New Roman"/>
      <w:szCs w:val="21"/>
    </w:rPr>
  </w:style>
  <w:style w:type="paragraph" w:styleId="924" w:customStyle="1">
    <w:name w:val="font6"/>
    <w:basedOn w:val="664"/>
    <w:uiPriority w:val="0"/>
    <w:qFormat/>
    <w:pPr>
      <w:jc w:val="left"/>
      <w:spacing w:before="100" w:beforeAutospacing="1" w:after="100" w:afterAutospacing="1"/>
      <w:widowControl/>
    </w:pPr>
    <w:rPr>
      <w:rFonts w:hint="eastAsia" w:ascii="宋体" w:hAnsi="宋体"/>
      <w:sz w:val="28"/>
      <w:szCs w:val="28"/>
      <w:u w:val="single"/>
    </w:rPr>
  </w:style>
  <w:style w:type="paragraph" w:styleId="925" w:customStyle="1">
    <w:name w:val="font7"/>
    <w:basedOn w:val="664"/>
    <w:uiPriority w:val="0"/>
    <w:qFormat/>
    <w:pPr>
      <w:jc w:val="left"/>
      <w:spacing w:before="100" w:beforeAutospacing="1" w:after="100" w:afterAutospacing="1"/>
      <w:widowControl/>
    </w:pPr>
    <w:rPr>
      <w:rFonts w:hint="eastAsia" w:ascii="宋体" w:hAnsi="宋体"/>
      <w:sz w:val="18"/>
      <w:szCs w:val="18"/>
    </w:rPr>
  </w:style>
  <w:style w:type="paragraph" w:styleId="926" w:customStyle="1">
    <w:name w:val="图标"/>
    <w:basedOn w:val="664"/>
    <w:next w:val="66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27" w:customStyle="1">
    <w:name w:val="招标"/>
    <w:basedOn w:val="664"/>
    <w:uiPriority w:val="0"/>
    <w:qFormat/>
    <w:pPr>
      <w:ind w:firstLine="420"/>
      <w:jc w:val="left"/>
      <w:spacing w:line="400" w:lineRule="exact"/>
    </w:pPr>
    <w:rPr>
      <w:rFonts w:ascii="宋体" w:hAnsi="宋体"/>
    </w:rPr>
  </w:style>
  <w:style w:type="paragraph" w:styleId="928" w:customStyle="1">
    <w:name w:val="4"/>
    <w:basedOn w:val="664"/>
    <w:next w:val="888"/>
    <w:uiPriority w:val="0"/>
    <w:qFormat/>
    <w:pPr>
      <w:ind w:firstLine="420"/>
      <w:spacing w:line="360" w:lineRule="auto"/>
    </w:pPr>
    <w:rPr>
      <w:rFonts w:ascii="Times New Roman" w:hAnsi="Times New Roman"/>
      <w:color w:val="ff0000"/>
      <w:sz w:val="24"/>
    </w:rPr>
  </w:style>
  <w:style w:type="paragraph" w:styleId="929" w:customStyle="1">
    <w:name w:val="Char Char Char Char"/>
    <w:basedOn w:val="911"/>
    <w:uiPriority w:val="0"/>
    <w:qFormat/>
    <w:pPr>
      <w:spacing w:line="360" w:lineRule="auto"/>
    </w:pPr>
    <w:rPr>
      <w:rFonts w:ascii="Tahoma" w:hAnsi="Tahoma"/>
      <w:sz w:val="24"/>
    </w:rPr>
  </w:style>
  <w:style w:type="paragraph" w:styleId="930" w:customStyle="1">
    <w:name w:val="正文 1.1.1"/>
    <w:basedOn w:val="664"/>
    <w:next w:val="664"/>
    <w:uiPriority w:val="0"/>
    <w:qFormat/>
    <w:pPr>
      <w:spacing w:line="360" w:lineRule="auto"/>
      <w:tabs>
        <w:tab w:val="left" w:pos="851" w:leader="none"/>
      </w:tabs>
      <w:outlineLvl w:val="2"/>
    </w:pPr>
    <w:rPr>
      <w:rFonts w:ascii="宋体" w:hAnsi="宋体"/>
      <w:color w:val="000000"/>
      <w:sz w:val="28"/>
      <w:szCs w:val="21"/>
    </w:rPr>
  </w:style>
  <w:style w:type="paragraph" w:styleId="931" w:customStyle="1">
    <w:name w:val="普通 (Web)"/>
    <w:basedOn w:val="664"/>
    <w:uiPriority w:val="0"/>
    <w:qFormat/>
    <w:pPr>
      <w:jc w:val="left"/>
      <w:spacing w:before="100" w:beforeAutospacing="1" w:after="100" w:afterAutospacing="1"/>
      <w:widowControl/>
    </w:pPr>
    <w:rPr>
      <w:rFonts w:ascii="宋体" w:hAnsi="宋体"/>
      <w:sz w:val="24"/>
    </w:rPr>
  </w:style>
  <w:style w:type="paragraph" w:styleId="932" w:customStyle="1">
    <w:name w:val="xl24"/>
    <w:basedOn w:val="6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33" w:customStyle="1">
    <w:name w:val="xl28"/>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34" w:customStyle="1">
    <w:name w:val="正文空2格  1."/>
    <w:basedOn w:val="664"/>
    <w:uiPriority w:val="0"/>
    <w:qFormat/>
    <w:pPr>
      <w:ind w:firstLine="480"/>
      <w:spacing w:line="360" w:lineRule="auto"/>
    </w:pPr>
    <w:rPr>
      <w:rFonts w:ascii="宋体" w:eastAsia="仿宋" w:cs="宋体"/>
      <w:sz w:val="28"/>
      <w:szCs w:val="20"/>
    </w:rPr>
  </w:style>
  <w:style w:type="paragraph" w:styleId="935" w:customStyle="1">
    <w:name w:val="xl25"/>
    <w:basedOn w:val="664"/>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936" w:customStyle="1">
    <w:name w:val="xl26"/>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37" w:customStyle="1">
    <w:name w:val="默认段落字体 Para Char Char Char Char Char Char Char Char Char1 Char Char Char Char Char Char Char"/>
    <w:basedOn w:val="911"/>
    <w:uiPriority w:val="0"/>
    <w:qFormat/>
    <w:rPr>
      <w:rFonts w:ascii="Tahoma" w:hAnsi="Tahoma"/>
      <w:sz w:val="24"/>
    </w:rPr>
  </w:style>
  <w:style w:type="paragraph" w:styleId="938" w:customStyle="1">
    <w:name w:val="Char"/>
    <w:basedOn w:val="664"/>
    <w:uiPriority w:val="0"/>
    <w:qFormat/>
    <w:pPr>
      <w:ind w:firstLine="561"/>
      <w:jc w:val="left"/>
      <w:tabs>
        <w:tab w:val="left" w:pos="360" w:leader="none"/>
      </w:tabs>
    </w:pPr>
    <w:rPr>
      <w:sz w:val="24"/>
      <w:u w:val="single"/>
    </w:rPr>
  </w:style>
  <w:style w:type="paragraph" w:styleId="939" w:customStyle="1">
    <w:name w:val="样式1"/>
    <w:basedOn w:val="664"/>
    <w:uiPriority w:val="99"/>
    <w:qFormat/>
    <w:pPr>
      <w:tabs>
        <w:tab w:val="left" w:pos="709" w:leader="none"/>
      </w:tabs>
    </w:pPr>
    <w:rPr>
      <w:rFonts w:ascii="宋体" w:hAnsi="宋体"/>
      <w:szCs w:val="21"/>
    </w:rPr>
  </w:style>
  <w:style w:type="paragraph" w:styleId="940" w:customStyle="1">
    <w:name w:val="xl47"/>
    <w:basedOn w:val="664"/>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941" w:customStyle="1">
    <w:name w:val="Char Char Char Char Char Char Char Char"/>
    <w:basedOn w:val="664"/>
    <w:uiPriority w:val="0"/>
    <w:qFormat/>
    <w:pPr>
      <w:jc w:val="left"/>
      <w:spacing w:after="160" w:line="240" w:lineRule="exact"/>
      <w:widowControl/>
    </w:pPr>
    <w:rPr>
      <w:rFonts w:ascii="Verdana" w:hAnsi="Verdana"/>
      <w:sz w:val="20"/>
      <w:szCs w:val="20"/>
      <w:lang w:eastAsia="en-US"/>
    </w:rPr>
  </w:style>
  <w:style w:type="paragraph" w:styleId="942" w:customStyle="1">
    <w:name w:val="标题1"/>
    <w:basedOn w:val="664"/>
    <w:next w:val="664"/>
    <w:uiPriority w:val="0"/>
    <w:qFormat/>
    <w:pPr>
      <w:jc w:val="center"/>
      <w:spacing w:line="700" w:lineRule="atLeast"/>
      <w:tabs>
        <w:tab w:val="left" w:pos="9193" w:leader="none"/>
        <w:tab w:val="left" w:pos="9827" w:leader="none"/>
      </w:tabs>
    </w:pPr>
    <w:rPr>
      <w:rFonts w:eastAsia="方正小标宋_GBK"/>
      <w:sz w:val="44"/>
    </w:rPr>
  </w:style>
  <w:style w:type="paragraph" w:styleId="943" w:customStyle="1">
    <w:name w:val="标书正文格式"/>
    <w:uiPriority w:val="0"/>
    <w:qFormat/>
    <w:pPr>
      <w:ind w:firstLine="200"/>
      <w:spacing w:line="360" w:lineRule="auto"/>
    </w:pPr>
    <w:rPr>
      <w:rFonts w:ascii="Calibri" w:hAnsi="Calibri" w:eastAsia="楷体_GB2312" w:cs="Times New Roman"/>
      <w:sz w:val="24"/>
      <w:szCs w:val="24"/>
      <w:lang w:val="en-US" w:eastAsia="zh-CN" w:bidi="ar-SA"/>
    </w:rPr>
  </w:style>
  <w:style w:type="paragraph" w:styleId="944" w:customStyle="1">
    <w:name w:val="正文 1.1"/>
    <w:basedOn w:val="664"/>
    <w:next w:val="930"/>
    <w:uiPriority w:val="0"/>
    <w:qFormat/>
    <w:pPr>
      <w:ind w:left="980" w:hanging="980"/>
      <w:spacing w:line="360" w:lineRule="auto"/>
      <w:outlineLvl w:val="1"/>
    </w:pPr>
    <w:rPr>
      <w:rFonts w:ascii="仿宋" w:hAnsi="仿宋" w:eastAsia="仿宋"/>
      <w:b/>
      <w:sz w:val="28"/>
      <w:szCs w:val="21"/>
    </w:rPr>
  </w:style>
  <w:style w:type="paragraph" w:styleId="945" w:customStyle="1">
    <w:name w:val="正文 第一章"/>
    <w:basedOn w:val="664"/>
    <w:next w:val="944"/>
    <w:uiPriority w:val="0"/>
    <w:qFormat/>
    <w:pPr>
      <w:jc w:val="center"/>
      <w:pageBreakBefore/>
      <w:spacing w:before="240" w:after="240" w:line="480" w:lineRule="auto"/>
      <w:outlineLvl w:val="0"/>
    </w:pPr>
    <w:rPr>
      <w:rFonts w:ascii="黑体" w:hAnsi="宋体" w:eastAsia="黑体"/>
      <w:sz w:val="36"/>
      <w:szCs w:val="21"/>
    </w:rPr>
  </w:style>
  <w:style w:type="paragraph" w:styleId="946" w:customStyle="1">
    <w:name w:val="附录1"/>
    <w:uiPriority w:val="0"/>
    <w:qFormat/>
    <w:pPr>
      <w:spacing w:before="240" w:line="600" w:lineRule="atLeast"/>
      <w:tabs>
        <w:tab w:val="left" w:pos="907" w:leader="none"/>
      </w:tabs>
    </w:pPr>
    <w:rPr>
      <w:rFonts w:ascii="Calibri" w:hAnsi="Calibri" w:eastAsia="宋体" w:cs="Times New Roman"/>
      <w:b/>
      <w:i/>
      <w:sz w:val="28"/>
      <w:lang w:val="en-US" w:eastAsia="zh-CN" w:bidi="ar-SA"/>
    </w:rPr>
  </w:style>
  <w:style w:type="paragraph" w:styleId="947" w:customStyle="1">
    <w:name w:val="Char Char Char Char1 Char Char Char"/>
    <w:basedOn w:val="911"/>
    <w:uiPriority w:val="0"/>
    <w:qFormat/>
    <w:pPr>
      <w:spacing w:line="360" w:lineRule="auto"/>
    </w:pPr>
    <w:rPr>
      <w:rFonts w:ascii="Tahoma" w:hAnsi="Tahoma"/>
      <w:sz w:val="24"/>
    </w:rPr>
  </w:style>
  <w:style w:type="paragraph" w:styleId="948" w:customStyle="1">
    <w:name w:val="Char11"/>
    <w:basedOn w:val="664"/>
    <w:uiPriority w:val="0"/>
    <w:qFormat/>
    <w:rPr>
      <w:rFonts w:ascii="Tahoma" w:hAnsi="Tahoma"/>
      <w:sz w:val="24"/>
      <w:szCs w:val="20"/>
    </w:rPr>
  </w:style>
  <w:style w:type="paragraph" w:styleId="949" w:customStyle="1">
    <w:name w:val="第四级"/>
    <w:basedOn w:val="664"/>
    <w:next w:val="664"/>
    <w:uiPriority w:val="0"/>
    <w:qFormat/>
    <w:pPr>
      <w:spacing w:line="360" w:lineRule="auto"/>
      <w:tabs>
        <w:tab w:val="left" w:pos="1134" w:leader="none"/>
      </w:tabs>
    </w:pPr>
    <w:rPr>
      <w:rFonts w:ascii="宋体" w:hAnsi="宋体" w:eastAsia="仿宋"/>
      <w:sz w:val="28"/>
      <w:szCs w:val="21"/>
    </w:rPr>
  </w:style>
  <w:style w:type="paragraph" w:styleId="950" w:customStyle="1">
    <w:name w:val="HTML 预先格式化"/>
    <w:basedOn w:val="66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51" w:customStyle="1">
    <w:name w:val="Coms Alinea"/>
    <w:uiPriority w:val="0"/>
    <w:qFormat/>
    <w:pPr>
      <w:widowControl w:val="off"/>
    </w:pPr>
    <w:rPr>
      <w:rFonts w:ascii="Arial" w:hAnsi="Arial" w:eastAsia="宋体" w:cs="Arial"/>
      <w:lang w:val="en-US" w:eastAsia="zh-CN" w:bidi="ar-SA"/>
    </w:rPr>
  </w:style>
  <w:style w:type="paragraph" w:styleId="952" w:customStyle="1">
    <w:name w:val="标题2"/>
    <w:basedOn w:val="664"/>
    <w:next w:val="664"/>
    <w:uiPriority w:val="0"/>
    <w:qFormat/>
    <w:pPr>
      <w:jc w:val="center"/>
    </w:pPr>
    <w:rPr>
      <w:rFonts w:eastAsia="方正楷体_GBK"/>
    </w:rPr>
  </w:style>
  <w:style w:type="paragraph" w:styleId="953" w:customStyle="1">
    <w:name w:val="浅色网格 - 着色 31"/>
    <w:basedOn w:val="664"/>
    <w:uiPriority w:val="34"/>
    <w:qFormat/>
    <w:pPr>
      <w:ind w:firstLine="420"/>
    </w:pPr>
    <w:rPr>
      <w:szCs w:val="22"/>
    </w:rPr>
  </w:style>
  <w:style w:type="paragraph" w:styleId="954" w:customStyle="1">
    <w:name w:val="Table Text"/>
    <w:uiPriority w:val="0"/>
    <w:qFormat/>
    <w:pPr>
      <w:jc w:val="center"/>
      <w:spacing w:before="143" w:after="80"/>
    </w:pPr>
    <w:rPr>
      <w:rFonts w:ascii="仿宋_GB2312" w:hAnsi="宋体" w:eastAsia="仿宋_GB2312" w:cs="Times New Roman"/>
      <w:sz w:val="24"/>
      <w:lang w:val="en-US" w:eastAsia="zh-CN" w:bidi="ar-SA"/>
    </w:rPr>
  </w:style>
  <w:style w:type="paragraph" w:styleId="955" w:customStyle="1">
    <w:name w:val="标题3"/>
    <w:basedOn w:val="664"/>
    <w:next w:val="664"/>
    <w:uiPriority w:val="0"/>
    <w:qFormat/>
    <w:rPr>
      <w:rFonts w:eastAsia="方正黑体_GBK"/>
    </w:rPr>
  </w:style>
  <w:style w:type="paragraph" w:styleId="956" w:customStyle="1">
    <w:name w:val="BioQuote Tekst"/>
    <w:basedOn w:val="664"/>
    <w:uiPriority w:val="0"/>
    <w:qFormat/>
    <w:pPr>
      <w:ind w:right="-1"/>
    </w:pPr>
    <w:rPr>
      <w:rFonts w:ascii="Arial" w:hAnsi="Arial"/>
      <w:sz w:val="22"/>
      <w:szCs w:val="20"/>
      <w:lang w:eastAsia="en-US"/>
    </w:rPr>
  </w:style>
  <w:style w:type="paragraph" w:styleId="957" w:customStyle="1">
    <w:name w:val="Char Char Char Char1 Char Char"/>
    <w:basedOn w:val="664"/>
    <w:uiPriority w:val="0"/>
    <w:qFormat/>
    <w:pPr>
      <w:tabs>
        <w:tab w:val="left" w:pos="360" w:leader="none"/>
      </w:tabs>
    </w:pPr>
    <w:rPr>
      <w:sz w:val="24"/>
    </w:rPr>
  </w:style>
  <w:style w:type="paragraph" w:styleId="958" w:customStyle="1">
    <w:name w:val="font5"/>
    <w:basedOn w:val="664"/>
    <w:uiPriority w:val="99"/>
    <w:qFormat/>
    <w:pPr>
      <w:jc w:val="left"/>
      <w:spacing w:before="100" w:beforeAutospacing="1" w:after="100" w:afterAutospacing="1"/>
      <w:widowControl/>
    </w:pPr>
    <w:rPr>
      <w:rFonts w:hint="eastAsia" w:ascii="宋体" w:hAnsi="宋体"/>
      <w:sz w:val="28"/>
      <w:szCs w:val="28"/>
    </w:rPr>
  </w:style>
  <w:style w:type="paragraph" w:styleId="959" w:customStyle="1">
    <w:name w:val="Body Text(ch)"/>
    <w:basedOn w:val="664"/>
    <w:next w:val="900"/>
    <w:uiPriority w:val="0"/>
    <w:qFormat/>
    <w:pPr>
      <w:spacing w:after="120"/>
    </w:pPr>
    <w:rPr>
      <w:rFonts w:ascii="宋体" w:hAnsi="Arial"/>
      <w:bCs/>
      <w:iCs/>
    </w:rPr>
  </w:style>
  <w:style w:type="paragraph" w:styleId="960" w:customStyle="1">
    <w:name w:val="xl27"/>
    <w:basedOn w:val="6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61" w:customStyle="1">
    <w:name w:val="xl29"/>
    <w:basedOn w:val="66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962" w:customStyle="1">
    <w:name w:val="xl30"/>
    <w:basedOn w:val="664"/>
    <w:uiPriority w:val="0"/>
    <w:qFormat/>
    <w:pPr>
      <w:jc w:val="center"/>
      <w:spacing w:before="100" w:beforeAutospacing="1" w:after="100" w:afterAutospacing="1"/>
      <w:widowControl/>
    </w:pPr>
    <w:rPr>
      <w:rFonts w:ascii="宋体" w:hAnsi="宋体"/>
      <w:b/>
      <w:bCs/>
      <w:sz w:val="36"/>
      <w:szCs w:val="36"/>
    </w:rPr>
  </w:style>
  <w:style w:type="paragraph" w:styleId="963" w:customStyle="1">
    <w:name w:val="table_1stline"/>
    <w:basedOn w:val="664"/>
    <w:uiPriority w:val="0"/>
    <w:qFormat/>
    <w:pPr>
      <w:jc w:val="left"/>
      <w:spacing w:before="120"/>
      <w:widowControl/>
    </w:pPr>
    <w:rPr>
      <w:rFonts w:ascii="Times New Roman" w:hAnsi="Times New Roman"/>
      <w:bCs/>
      <w:sz w:val="20"/>
      <w:szCs w:val="20"/>
      <w:lang w:val="de-DE" w:eastAsia="de-DE"/>
    </w:rPr>
  </w:style>
  <w:style w:type="paragraph" w:styleId="964" w:customStyle="1">
    <w:name w:val="table_lines"/>
    <w:basedOn w:val="664"/>
    <w:uiPriority w:val="0"/>
    <w:qFormat/>
    <w:pPr>
      <w:jc w:val="left"/>
      <w:widowControl/>
    </w:pPr>
    <w:rPr>
      <w:rFonts w:ascii="Times New Roman" w:hAnsi="Times New Roman"/>
      <w:sz w:val="20"/>
      <w:szCs w:val="20"/>
      <w:lang w:val="de-DE" w:eastAsia="de-DE"/>
    </w:rPr>
  </w:style>
  <w:style w:type="paragraph" w:styleId="965" w:customStyle="1">
    <w:name w:val="Char Char Char Char Char Char Char Char Char Char"/>
    <w:basedOn w:val="664"/>
    <w:uiPriority w:val="0"/>
    <w:qFormat/>
    <w:pPr>
      <w:spacing w:line="360" w:lineRule="auto"/>
    </w:pPr>
    <w:rPr>
      <w:rFonts w:ascii="Times New Roman" w:hAnsi="Times New Roman"/>
      <w:sz w:val="24"/>
      <w:szCs w:val="20"/>
    </w:rPr>
  </w:style>
  <w:style w:type="paragraph" w:styleId="966" w:customStyle="1">
    <w:name w:val="_Style 89"/>
    <w:basedOn w:val="664"/>
    <w:next w:val="953"/>
    <w:uiPriority w:val="34"/>
    <w:qFormat/>
    <w:pPr>
      <w:ind w:firstLine="420"/>
    </w:pPr>
    <w:rPr>
      <w:rFonts w:ascii="Times New Roman" w:hAnsi="Times New Roman"/>
    </w:rPr>
  </w:style>
  <w:style w:type="table" w:styleId="967" w:customStyle="1">
    <w:name w:val="网格型1"/>
    <w:basedOn w:val="856"/>
    <w:uiPriority w:val="0"/>
    <w:qFormat/>
    <w:pPr>
      <w:jc w:val="both"/>
      <w:widowControl w:val="off"/>
    </w:pPr>
    <w:tblPr/>
  </w:style>
  <w:style w:type="paragraph" w:styleId="968" w:customStyle="1">
    <w:name w:val="列表段落"/>
    <w:basedOn w:val="664"/>
    <w:uiPriority w:val="99"/>
    <w:qFormat/>
    <w:pPr>
      <w:ind w:firstLine="420"/>
    </w:pPr>
    <w:rPr>
      <w:szCs w:val="22"/>
    </w:rPr>
  </w:style>
  <w:style w:type="character" w:styleId="969" w:customStyle="1">
    <w:name w:val="未处理的提及"/>
    <w:uiPriority w:val="99"/>
    <w:semiHidden/>
    <w:unhideWhenUsed/>
    <w:qFormat/>
    <w:rPr>
      <w:color w:val="605e5c"/>
      <w:shd w:val="clear" w:color="auto" w:fill="e1dfdd"/>
    </w:rPr>
  </w:style>
  <w:style w:type="character" w:styleId="970" w:customStyle="1">
    <w:name w:val="正文缩进 字符1"/>
    <w:uiPriority w:val="0"/>
    <w:qFormat/>
    <w:rPr>
      <w:rFonts w:eastAsia="宋体"/>
      <w:sz w:val="21"/>
      <w:lang w:val="en-US" w:eastAsia="zh-CN" w:bidi="ar-SA"/>
    </w:rPr>
  </w:style>
  <w:style w:type="paragraph" w:styleId="971" w:customStyle="1">
    <w:name w:val="修订1"/>
    <w:hidden/>
    <w:uiPriority w:val="0"/>
    <w:unhideWhenUsed/>
    <w:qFormat/>
    <w:rPr>
      <w:rFonts w:ascii="Calibri" w:hAnsi="Calibri" w:eastAsia="宋体" w:cs="Times New Roman"/>
      <w:sz w:val="21"/>
      <w:szCs w:val="24"/>
      <w:lang w:val="en-US" w:eastAsia="zh-CN" w:bidi="ar-SA"/>
    </w:rPr>
  </w:style>
  <w:style w:type="paragraph" w:styleId="972" w:customStyle="1">
    <w:name w:val="0正文"/>
    <w:link w:val="973"/>
    <w:uiPriority w:val="0"/>
    <w:qFormat/>
    <w:pPr>
      <w:ind w:firstLine="200"/>
    </w:pPr>
    <w:rPr>
      <w:rFonts w:ascii="Times New Roman" w:hAnsi="Times New Roman" w:eastAsia="宋体" w:cs="Times New Roman"/>
      <w:sz w:val="21"/>
      <w:szCs w:val="21"/>
      <w:lang w:val="en-US" w:eastAsia="zh-CN" w:bidi="ar-SA"/>
    </w:rPr>
  </w:style>
  <w:style w:type="character" w:styleId="973" w:customStyle="1">
    <w:name w:val="0正文 Char"/>
    <w:link w:val="972"/>
    <w:uiPriority w:val="0"/>
    <w:qFormat/>
    <w:rPr>
      <w:rFonts w:ascii="Times New Roman" w:hAnsi="Times New Roman"/>
      <w:sz w:val="21"/>
      <w:szCs w:val="21"/>
    </w:rPr>
  </w:style>
  <w:style w:type="paragraph" w:styleId="97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975" w:customStyle="1">
    <w:name w:val="强调1"/>
    <w:uiPriority w:val="0"/>
    <w:qFormat/>
    <w:rPr>
      <w:i/>
    </w:rPr>
  </w:style>
  <w:style w:type="character" w:styleId="976" w:customStyle="1">
    <w:name w:val="NormalCharacter1"/>
    <w:uiPriority w:val="0"/>
    <w:qFormat/>
  </w:style>
  <w:style w:type="paragraph" w:styleId="977" w:customStyle="1">
    <w:name w:val="Char Char Char Char1 Char Char1"/>
    <w:basedOn w:val="664"/>
    <w:uiPriority w:val="0"/>
    <w:qFormat/>
    <w:pPr>
      <w:tabs>
        <w:tab w:val="left" w:pos="360" w:leader="none"/>
      </w:tabs>
    </w:pPr>
    <w:rPr>
      <w:sz w:val="24"/>
    </w:rPr>
  </w:style>
  <w:style w:type="paragraph" w:styleId="978" w:customStyle="1">
    <w:name w:val="公文标题 1"/>
    <w:basedOn w:val="664"/>
    <w:next w:val="664"/>
    <w:uiPriority w:val="0"/>
    <w:qFormat/>
    <w:pPr>
      <w:ind w:left="480"/>
      <w:tabs>
        <w:tab w:val="left" w:pos="480" w:leader="none"/>
      </w:tabs>
      <w:outlineLvl w:val="0"/>
    </w:pPr>
    <w:rPr>
      <w:rFonts w:ascii="仿宋_GB2312" w:hAnsi="宋体" w:eastAsia="仿宋_GB2312"/>
      <w:sz w:val="28"/>
    </w:rPr>
  </w:style>
  <w:style w:type="character" w:styleId="979" w:customStyle="1">
    <w:name w:val="HTML 预设格式 字符"/>
    <w:link w:val="919"/>
    <w:uiPriority w:val="0"/>
    <w:qFormat/>
    <w:rPr>
      <w:rFonts w:ascii="黑体" w:hAnsi="Courier New" w:eastAsia="黑体" w:cs="Courier New"/>
    </w:rPr>
  </w:style>
  <w:style w:type="character" w:styleId="980" w:customStyle="1">
    <w:name w:val="批注主题 Char3"/>
    <w:uiPriority w:val="0"/>
    <w:qFormat/>
    <w:rPr>
      <w:b/>
      <w:bCs/>
      <w:sz w:val="21"/>
      <w:szCs w:val="24"/>
    </w:rPr>
  </w:style>
  <w:style w:type="character" w:styleId="981" w:customStyle="1">
    <w:name w:val="纯文本 Char2"/>
    <w:uiPriority w:val="0"/>
    <w:qFormat/>
    <w:rPr>
      <w:rFonts w:ascii="宋体" w:hAnsi="Courier New"/>
      <w:sz w:val="21"/>
    </w:rPr>
  </w:style>
  <w:style w:type="character" w:styleId="982" w:customStyle="1">
    <w:name w:val="标题 1 Char2"/>
    <w:uiPriority w:val="0"/>
    <w:qFormat/>
    <w:rPr>
      <w:rFonts w:ascii="楷体_GB2312" w:eastAsia="楷体_GB2312"/>
      <w:sz w:val="28"/>
      <w:lang w:val="en-US" w:eastAsia="zh-CN" w:bidi="ar-SA"/>
    </w:rPr>
  </w:style>
  <w:style w:type="character" w:styleId="983" w:customStyle="1">
    <w:name w:val="批注文字 Char3"/>
    <w:uiPriority w:val="0"/>
    <w:qFormat/>
    <w:rPr>
      <w:sz w:val="21"/>
      <w:szCs w:val="24"/>
    </w:rPr>
  </w:style>
  <w:style w:type="character" w:styleId="984" w:customStyle="1">
    <w:name w:val="标题 2 Char1"/>
    <w:uiPriority w:val="0"/>
    <w:qFormat/>
    <w:rPr>
      <w:rFonts w:ascii="Arial" w:hAnsi="Arial" w:eastAsia="幼圆"/>
      <w:b/>
      <w:sz w:val="44"/>
    </w:rPr>
  </w:style>
  <w:style w:type="character" w:styleId="985" w:customStyle="1">
    <w:name w:val="标题 3 Char3"/>
    <w:uiPriority w:val="0"/>
    <w:qFormat/>
    <w:rPr>
      <w:b/>
      <w:sz w:val="32"/>
    </w:rPr>
  </w:style>
  <w:style w:type="character" w:styleId="986" w:customStyle="1">
    <w:name w:val="Table Text Char Char Char Char Char Char"/>
    <w:link w:val="987"/>
    <w:uiPriority w:val="0"/>
    <w:semiHidden/>
    <w:qFormat/>
    <w:rPr>
      <w:rFonts w:ascii="Arial" w:hAnsi="Arial" w:cs="Arial"/>
      <w:sz w:val="18"/>
      <w:szCs w:val="24"/>
    </w:rPr>
  </w:style>
  <w:style w:type="paragraph" w:styleId="987" w:customStyle="1">
    <w:name w:val="Table Text Char Char Char Char"/>
    <w:link w:val="986"/>
    <w:uiPriority w:val="0"/>
    <w:semiHidden/>
    <w:qFormat/>
    <w:pPr>
      <w:spacing w:before="80" w:after="80"/>
    </w:pPr>
    <w:rPr>
      <w:rFonts w:ascii="Arial" w:hAnsi="Arial" w:eastAsia="宋体" w:cs="Arial"/>
      <w:sz w:val="18"/>
      <w:szCs w:val="24"/>
      <w:lang w:val="en-US" w:eastAsia="zh-CN" w:bidi="ar-SA"/>
    </w:rPr>
  </w:style>
  <w:style w:type="character" w:styleId="988" w:customStyle="1">
    <w:name w:val="标题 Char2"/>
    <w:uiPriority w:val="99"/>
    <w:qFormat/>
    <w:rPr>
      <w:rFonts w:ascii="Calibri Light" w:hAnsi="Calibri Light" w:eastAsia="宋体" w:cs="Times New Roman"/>
      <w:b/>
      <w:bCs/>
      <w:sz w:val="32"/>
      <w:szCs w:val="32"/>
    </w:rPr>
  </w:style>
  <w:style w:type="character" w:styleId="989" w:customStyle="1">
    <w:name w:val="文档结构图 Char1"/>
    <w:uiPriority w:val="0"/>
    <w:qFormat/>
    <w:rPr>
      <w:rFonts w:ascii="宋体" w:hAnsi="Calibri" w:eastAsia="宋体" w:cs="Times New Roman"/>
      <w:sz w:val="18"/>
      <w:szCs w:val="18"/>
    </w:rPr>
  </w:style>
  <w:style w:type="character" w:styleId="990" w:customStyle="1">
    <w:name w:val="普通文字1 Char"/>
    <w:uiPriority w:val="0"/>
    <w:qFormat/>
    <w:rPr>
      <w:rFonts w:ascii="宋体" w:eastAsia="宋体"/>
      <w:sz w:val="21"/>
      <w:szCs w:val="21"/>
      <w:lang w:val="en-US" w:eastAsia="zh-CN" w:bidi="ar-SA"/>
    </w:rPr>
  </w:style>
  <w:style w:type="character" w:styleId="991" w:customStyle="1">
    <w:name w:val="正文，首行缩进: Char Char"/>
    <w:link w:val="992"/>
    <w:uiPriority w:val="0"/>
    <w:semiHidden/>
    <w:qFormat/>
    <w:rPr>
      <w:rFonts w:ascii="Arial" w:hAnsi="Arial" w:eastAsia="仿宋_GB2312" w:cs="宋体"/>
      <w:sz w:val="24"/>
    </w:rPr>
  </w:style>
  <w:style w:type="paragraph" w:styleId="992" w:customStyle="1">
    <w:name w:val="正文，首行缩进:"/>
    <w:basedOn w:val="664"/>
    <w:link w:val="991"/>
    <w:uiPriority w:val="0"/>
    <w:semiHidden/>
    <w:qFormat/>
    <w:pPr>
      <w:ind w:firstLine="480"/>
      <w:jc w:val="left"/>
      <w:spacing w:line="360" w:lineRule="auto"/>
    </w:pPr>
    <w:rPr>
      <w:rFonts w:ascii="Arial" w:hAnsi="Arial" w:eastAsia="仿宋_GB2312" w:cs="宋体"/>
      <w:sz w:val="24"/>
      <w:szCs w:val="20"/>
    </w:rPr>
  </w:style>
  <w:style w:type="character" w:styleId="993" w:customStyle="1">
    <w:name w:val="A2"/>
    <w:uiPriority w:val="0"/>
    <w:qFormat/>
    <w:rPr>
      <w:rFonts w:cs="Helvetica"/>
      <w:color w:val="000000"/>
      <w:sz w:val="18"/>
      <w:szCs w:val="18"/>
    </w:rPr>
  </w:style>
  <w:style w:type="character" w:styleId="994" w:customStyle="1">
    <w:name w:val="尾注引用1"/>
    <w:uiPriority w:val="0"/>
    <w:qFormat/>
    <w:rPr>
      <w:vertAlign w:val="superscript"/>
    </w:rPr>
  </w:style>
  <w:style w:type="character" w:styleId="995" w:customStyle="1">
    <w:name w:val="ask-title"/>
    <w:basedOn w:val="855"/>
    <w:uiPriority w:val="0"/>
    <w:qFormat/>
  </w:style>
  <w:style w:type="character" w:styleId="996" w:customStyle="1">
    <w:name w:val="批注框文本 Char"/>
    <w:uiPriority w:val="0"/>
    <w:qFormat/>
    <w:rPr>
      <w:rFonts w:ascii="Calibri" w:hAnsi="Calibri" w:eastAsia="宋体" w:cs="Times New Roman"/>
      <w:sz w:val="18"/>
      <w:szCs w:val="18"/>
    </w:rPr>
  </w:style>
  <w:style w:type="character" w:styleId="997" w:customStyle="1">
    <w:name w:val="Title1 Char"/>
    <w:uiPriority w:val="0"/>
    <w:qFormat/>
    <w:rPr>
      <w:rFonts w:eastAsia="宋体"/>
      <w:b/>
      <w:bCs/>
      <w:sz w:val="44"/>
      <w:szCs w:val="44"/>
      <w:lang w:val="en-US" w:eastAsia="zh-CN" w:bidi="ar-SA"/>
    </w:rPr>
  </w:style>
  <w:style w:type="character" w:styleId="998" w:customStyle="1">
    <w:name w:val="Char Char21"/>
    <w:uiPriority w:val="0"/>
    <w:qFormat/>
    <w:rPr>
      <w:rFonts w:ascii="Arial" w:hAnsi="Arial" w:eastAsia="黑体"/>
      <w:sz w:val="24"/>
      <w:szCs w:val="24"/>
    </w:rPr>
  </w:style>
  <w:style w:type="character" w:styleId="999" w:customStyle="1">
    <w:name w:val="Char Char25"/>
    <w:uiPriority w:val="0"/>
    <w:qFormat/>
    <w:rPr>
      <w:rFonts w:ascii="Arial" w:hAnsi="Arial" w:eastAsia="黑体"/>
      <w:b/>
      <w:sz w:val="28"/>
    </w:rPr>
  </w:style>
  <w:style w:type="character" w:styleId="1000" w:customStyle="1">
    <w:name w:val="标题4 Char Char"/>
    <w:uiPriority w:val="0"/>
    <w:qFormat/>
    <w:rPr>
      <w:rFonts w:ascii="Arial" w:hAnsi="Arial"/>
      <w:b/>
      <w:bCs/>
      <w:sz w:val="24"/>
      <w:szCs w:val="32"/>
    </w:rPr>
  </w:style>
  <w:style w:type="character" w:styleId="1001" w:customStyle="1">
    <w:name w:val="sub_title1"/>
    <w:uiPriority w:val="0"/>
    <w:qFormat/>
    <w:rPr>
      <w:rFonts w:ascii="Arial" w:hAnsi="Arial" w:eastAsia="宋体" w:cs="Arial"/>
      <w:color w:val="000000"/>
      <w:sz w:val="15"/>
      <w:szCs w:val="15"/>
      <w:lang w:val="en-US" w:eastAsia="zh-CN"/>
    </w:rPr>
  </w:style>
  <w:style w:type="character" w:styleId="1002" w:customStyle="1">
    <w:name w:val="行号1"/>
    <w:basedOn w:val="855"/>
    <w:uiPriority w:val="0"/>
    <w:qFormat/>
  </w:style>
  <w:style w:type="character" w:styleId="1003" w:customStyle="1">
    <w:name w:val="新图表正文 Char Char"/>
    <w:link w:val="1004"/>
    <w:uiPriority w:val="0"/>
    <w:qFormat/>
    <w:rPr>
      <w:rFonts w:ascii="宋体" w:hAnsi="宋体"/>
      <w:sz w:val="18"/>
      <w:szCs w:val="21"/>
    </w:rPr>
  </w:style>
  <w:style w:type="paragraph" w:styleId="1004" w:customStyle="1">
    <w:name w:val="新图表正文"/>
    <w:link w:val="1003"/>
    <w:uiPriority w:val="0"/>
    <w:qFormat/>
    <w:pPr>
      <w:jc w:val="both"/>
    </w:pPr>
    <w:rPr>
      <w:rFonts w:ascii="宋体" w:hAnsi="宋体" w:eastAsia="宋体" w:cs="Times New Roman"/>
      <w:sz w:val="18"/>
      <w:szCs w:val="21"/>
      <w:lang w:val="en-US" w:eastAsia="zh-CN" w:bidi="ar-SA"/>
    </w:rPr>
  </w:style>
  <w:style w:type="character" w:styleId="1005" w:customStyle="1">
    <w:name w:val="日期 Char"/>
    <w:uiPriority w:val="0"/>
    <w:qFormat/>
    <w:rPr>
      <w:rFonts w:ascii="Calibri" w:hAnsi="Calibri" w:eastAsia="宋体" w:cs="Times New Roman"/>
    </w:rPr>
  </w:style>
  <w:style w:type="character" w:styleId="1006" w:customStyle="1">
    <w:name w:val="正文（首行缩进两字） Char Char Char Char Char Char Char Char Char Char Char Char Char Char Char"/>
    <w:uiPriority w:val="0"/>
    <w:qFormat/>
    <w:rPr>
      <w:rFonts w:hint="eastAsia" w:ascii="宋体" w:hAnsi="宋体" w:eastAsia="宋体"/>
      <w:sz w:val="21"/>
      <w:szCs w:val="24"/>
      <w:lang w:val="en-US" w:eastAsia="zh-CN"/>
    </w:rPr>
  </w:style>
  <w:style w:type="character" w:styleId="1007" w:customStyle="1">
    <w:name w:val="HTML 打字机1"/>
    <w:uiPriority w:val="0"/>
    <w:qFormat/>
    <w:rPr>
      <w:rFonts w:ascii="宋体" w:hAnsi="宋体" w:eastAsia="宋体" w:cs="宋体"/>
      <w:sz w:val="24"/>
      <w:szCs w:val="24"/>
    </w:rPr>
  </w:style>
  <w:style w:type="character" w:styleId="1008" w:customStyle="1">
    <w:name w:val="正文文本缩进 Char_0"/>
    <w:link w:val="1009"/>
    <w:uiPriority w:val="99"/>
    <w:qFormat/>
    <w:rPr>
      <w:szCs w:val="24"/>
    </w:rPr>
  </w:style>
  <w:style w:type="paragraph" w:styleId="1009" w:customStyle="1">
    <w:name w:val="正文文本缩进_0"/>
    <w:basedOn w:val="1010"/>
    <w:link w:val="1008"/>
    <w:uiPriority w:val="99"/>
    <w:qFormat/>
    <w:pPr>
      <w:ind w:left="420"/>
      <w:spacing w:after="120"/>
    </w:pPr>
    <w:rPr>
      <w:szCs w:val="24"/>
    </w:rPr>
  </w:style>
  <w:style w:type="paragraph" w:styleId="1010" w:customStyle="1">
    <w:name w:val="正文_0"/>
    <w:uiPriority w:val="99"/>
    <w:qFormat/>
    <w:pPr>
      <w:jc w:val="both"/>
      <w:widowControl w:val="off"/>
    </w:pPr>
    <w:rPr>
      <w:rFonts w:ascii="Calibri" w:hAnsi="Calibri" w:eastAsia="宋体" w:cs="Times New Roman"/>
      <w:lang w:val="en-US" w:eastAsia="zh-CN" w:bidi="ar-SA"/>
    </w:rPr>
  </w:style>
  <w:style w:type="character" w:styleId="1011" w:customStyle="1">
    <w:name w:val="纯文本 Char Char Char"/>
    <w:uiPriority w:val="0"/>
    <w:qFormat/>
    <w:rPr>
      <w:rFonts w:ascii="宋体" w:hAnsi="Courier New" w:eastAsia="宋体"/>
      <w:sz w:val="21"/>
      <w:szCs w:val="21"/>
      <w:lang w:val="en-US" w:eastAsia="zh-CN" w:bidi="ar-SA"/>
    </w:rPr>
  </w:style>
  <w:style w:type="character" w:styleId="1012" w:customStyle="1">
    <w:name w:val="明显引用 字符1"/>
    <w:link w:val="1013"/>
    <w:uiPriority w:val="0"/>
    <w:qFormat/>
    <w:rPr>
      <w:b/>
      <w:bCs/>
      <w:i/>
      <w:iCs/>
      <w:sz w:val="22"/>
      <w:szCs w:val="22"/>
      <w:lang w:eastAsia="en-US" w:bidi="en-US"/>
    </w:rPr>
  </w:style>
  <w:style w:type="paragraph" w:styleId="1013" w:customStyle="1">
    <w:name w:val="明显引用1"/>
    <w:basedOn w:val="664"/>
    <w:next w:val="664"/>
    <w:link w:val="1012"/>
    <w:uiPriority w:val="0"/>
    <w:qFormat/>
    <w:pPr>
      <w:ind w:left="1008" w:right="1152"/>
      <w:spacing w:before="200" w:after="280" w:line="276" w:lineRule="auto"/>
      <w:widowControl/>
      <w:pBdr>
        <w:bottom w:val="single" w:color="000000" w:sz="4" w:space="1"/>
      </w:pBdr>
    </w:pPr>
    <w:rPr>
      <w:b/>
      <w:bCs/>
      <w:i/>
      <w:iCs/>
      <w:sz w:val="22"/>
      <w:szCs w:val="22"/>
      <w:lang w:eastAsia="en-US" w:bidi="en-US"/>
    </w:rPr>
  </w:style>
  <w:style w:type="character" w:styleId="1014" w:customStyle="1">
    <w:name w:val="明显引用 字符"/>
    <w:uiPriority w:val="99"/>
    <w:qFormat/>
    <w:rPr>
      <w:i/>
      <w:iCs/>
      <w:color w:val="4472c4"/>
      <w:sz w:val="21"/>
      <w:szCs w:val="24"/>
    </w:rPr>
  </w:style>
  <w:style w:type="character" w:styleId="1015" w:customStyle="1">
    <w:name w:val="!标题3 Ctrl+3 Char Char"/>
    <w:link w:val="1016"/>
    <w:uiPriority w:val="0"/>
    <w:semiHidden/>
    <w:qFormat/>
    <w:rPr>
      <w:rFonts w:ascii="Arial" w:hAnsi="Arial" w:eastAsia="黑体" w:cs="Arial"/>
      <w:b/>
      <w:sz w:val="32"/>
      <w:szCs w:val="32"/>
    </w:rPr>
  </w:style>
  <w:style w:type="paragraph" w:styleId="1016" w:customStyle="1">
    <w:name w:val="!标题3 Ctrl+3"/>
    <w:basedOn w:val="848"/>
    <w:next w:val="1017"/>
    <w:link w:val="1015"/>
    <w:uiPriority w:val="0"/>
    <w:semiHidden/>
    <w:qFormat/>
    <w:pPr>
      <w:ind w:left="1249" w:hanging="709"/>
      <w:keepLines w:val="0"/>
      <w:keepNext w:val="0"/>
      <w:spacing w:after="0" w:line="360" w:lineRule="auto"/>
      <w:tabs>
        <w:tab w:val="left" w:pos="1249" w:leader="none"/>
      </w:tabs>
    </w:pPr>
    <w:rPr>
      <w:rFonts w:ascii="Arial" w:hAnsi="Arial" w:eastAsia="黑体" w:cs="Arial"/>
      <w:szCs w:val="32"/>
      <w:lang w:eastAsia="zh-CN"/>
    </w:rPr>
  </w:style>
  <w:style w:type="paragraph" w:styleId="1017" w:customStyle="1">
    <w:name w:val="!我的正文 Ctr+Q"/>
    <w:basedOn w:val="664"/>
    <w:link w:val="1018"/>
    <w:uiPriority w:val="99"/>
    <w:semiHidden/>
    <w:qFormat/>
    <w:pPr>
      <w:ind w:firstLine="480"/>
      <w:spacing w:line="360" w:lineRule="auto"/>
    </w:pPr>
    <w:rPr>
      <w:rFonts w:ascii="Arial" w:hAnsi="Arial" w:cs="Arial"/>
      <w:sz w:val="24"/>
      <w:szCs w:val="21"/>
    </w:rPr>
  </w:style>
  <w:style w:type="character" w:styleId="1018" w:customStyle="1">
    <w:name w:val="!我的正文 Ctr+Q Char Char"/>
    <w:link w:val="1017"/>
    <w:uiPriority w:val="99"/>
    <w:semiHidden/>
    <w:qFormat/>
    <w:rPr>
      <w:rFonts w:ascii="Arial" w:hAnsi="Arial" w:cs="Arial"/>
      <w:sz w:val="24"/>
      <w:szCs w:val="21"/>
    </w:rPr>
  </w:style>
  <w:style w:type="character" w:styleId="1019" w:customStyle="1">
    <w:name w:val="ih151"/>
    <w:uiPriority w:val="0"/>
    <w:qFormat/>
    <w:rPr>
      <w:color w:val="666666"/>
      <w:sz w:val="18"/>
      <w:szCs w:val="18"/>
      <w:u w:val="none"/>
    </w:rPr>
  </w:style>
  <w:style w:type="character" w:styleId="1020" w:customStyle="1">
    <w:name w:val="华宇段落1 Char Char Char"/>
    <w:uiPriority w:val="0"/>
    <w:qFormat/>
    <w:rPr>
      <w:rFonts w:eastAsia="宋体"/>
      <w:bCs/>
      <w:sz w:val="24"/>
      <w:szCs w:val="24"/>
      <w:lang w:val="en-US" w:eastAsia="zh-CN" w:bidi="ar-SA"/>
    </w:rPr>
  </w:style>
  <w:style w:type="character" w:styleId="1021" w:customStyle="1">
    <w:name w:val="不明显强调1"/>
    <w:uiPriority w:val="0"/>
    <w:qFormat/>
    <w:rPr>
      <w:i/>
      <w:iCs/>
    </w:rPr>
  </w:style>
  <w:style w:type="character" w:styleId="1022" w:customStyle="1">
    <w:name w:val="样式 首行缩进:  2 字符 Char"/>
    <w:uiPriority w:val="0"/>
    <w:qFormat/>
    <w:rPr>
      <w:rFonts w:eastAsia="宋体" w:cs="宋体"/>
      <w:sz w:val="24"/>
      <w:lang w:val="en-US" w:eastAsia="zh-CN" w:bidi="ar-SA"/>
    </w:rPr>
  </w:style>
  <w:style w:type="character" w:styleId="1023" w:customStyle="1">
    <w:name w:val="脚注引用1"/>
    <w:uiPriority w:val="0"/>
    <w:qFormat/>
    <w:rPr>
      <w:vertAlign w:val="superscript"/>
    </w:rPr>
  </w:style>
  <w:style w:type="character" w:styleId="1024" w:customStyle="1">
    <w:name w:val="明显参考1"/>
    <w:uiPriority w:val="0"/>
    <w:qFormat/>
    <w:rPr>
      <w:smallCaps/>
      <w:spacing w:val="5"/>
      <w:u w:val="single"/>
    </w:rPr>
  </w:style>
  <w:style w:type="character" w:styleId="1025" w:customStyle="1">
    <w:name w:val="小四 段落 宋体 Char Char Char Char Char Char"/>
    <w:uiPriority w:val="0"/>
    <w:qFormat/>
    <w:rPr>
      <w:rFonts w:eastAsia="宋体"/>
      <w:sz w:val="24"/>
      <w:szCs w:val="24"/>
      <w:lang w:val="en-US" w:eastAsia="zh-CN" w:bidi="ar-SA"/>
    </w:rPr>
  </w:style>
  <w:style w:type="character" w:styleId="1026" w:customStyle="1">
    <w:name w:val="HTML 样本1"/>
    <w:uiPriority w:val="0"/>
    <w:qFormat/>
    <w:rPr>
      <w:rFonts w:ascii="Courier New" w:hAnsi="宋体" w:eastAsia="宋体" w:cs="Courier New"/>
    </w:rPr>
  </w:style>
  <w:style w:type="character" w:styleId="1027" w:customStyle="1">
    <w:name w:val="f12"/>
    <w:basedOn w:val="855"/>
    <w:uiPriority w:val="0"/>
    <w:qFormat/>
  </w:style>
  <w:style w:type="character" w:styleId="1028" w:customStyle="1">
    <w:name w:val="标题 211"/>
    <w:uiPriority w:val="0"/>
    <w:qFormat/>
    <w:rPr>
      <w:rFonts w:ascii="Times New Roman" w:hAnsi="Times New Roman" w:eastAsia="宋体" w:cs="Times New Roman"/>
      <w:b/>
      <w:sz w:val="32"/>
      <w:szCs w:val="24"/>
      <w:lang w:val="en-US" w:eastAsia="zh-CN"/>
    </w:rPr>
  </w:style>
  <w:style w:type="character" w:styleId="1029" w:customStyle="1">
    <w:name w:val="章节二 Char Char"/>
    <w:link w:val="1030"/>
    <w:uiPriority w:val="0"/>
    <w:semiHidden/>
    <w:qFormat/>
    <w:rPr>
      <w:rFonts w:ascii="黑体" w:hAnsi="黑体" w:eastAsia="黑体" w:cs="黑体"/>
    </w:rPr>
  </w:style>
  <w:style w:type="paragraph" w:styleId="1030" w:customStyle="1">
    <w:name w:val="章节二"/>
    <w:basedOn w:val="664"/>
    <w:link w:val="1029"/>
    <w:uiPriority w:val="0"/>
    <w:semiHidden/>
    <w:qFormat/>
    <w:rPr>
      <w:rFonts w:ascii="黑体" w:hAnsi="黑体" w:eastAsia="黑体" w:cs="黑体"/>
      <w:sz w:val="20"/>
      <w:szCs w:val="20"/>
    </w:rPr>
  </w:style>
  <w:style w:type="character" w:styleId="1031" w:customStyle="1">
    <w:name w:val="称呼 字符"/>
    <w:link w:val="1032"/>
    <w:uiPriority w:val="99"/>
    <w:qFormat/>
    <w:rPr>
      <w:rFonts w:ascii="仿宋_GB2312" w:eastAsia="仿宋_GB2312"/>
      <w:sz w:val="28"/>
    </w:rPr>
  </w:style>
  <w:style w:type="paragraph" w:styleId="1032" w:customStyle="1">
    <w:name w:val="称呼1"/>
    <w:basedOn w:val="664"/>
    <w:next w:val="664"/>
    <w:link w:val="1031"/>
    <w:uiPriority w:val="99"/>
    <w:qFormat/>
    <w:rPr>
      <w:rFonts w:ascii="仿宋_GB2312" w:eastAsia="仿宋_GB2312"/>
      <w:sz w:val="28"/>
      <w:szCs w:val="20"/>
    </w:rPr>
  </w:style>
  <w:style w:type="character" w:styleId="1033" w:customStyle="1">
    <w:name w:val="称呼 字符1"/>
    <w:uiPriority w:val="0"/>
    <w:qFormat/>
    <w:rPr>
      <w:sz w:val="21"/>
      <w:szCs w:val="24"/>
    </w:rPr>
  </w:style>
  <w:style w:type="character" w:styleId="1034" w:customStyle="1">
    <w:name w:val="3zw"/>
    <w:basedOn w:val="855"/>
    <w:uiPriority w:val="0"/>
    <w:qFormat/>
  </w:style>
  <w:style w:type="character" w:styleId="1035" w:customStyle="1">
    <w:name w:val="title_emph1"/>
    <w:uiPriority w:val="0"/>
    <w:qFormat/>
    <w:rPr>
      <w:rFonts w:ascii="Arial" w:cs="Arial"/>
      <w:b/>
      <w:bCs/>
      <w:sz w:val="18"/>
      <w:szCs w:val="18"/>
    </w:rPr>
  </w:style>
  <w:style w:type="character" w:styleId="1036" w:customStyle="1">
    <w:name w:val="tablebody1"/>
    <w:uiPriority w:val="0"/>
    <w:qFormat/>
    <w:rPr>
      <w:rFonts w:ascii="Arial" w:hAnsi="Arial" w:cs="Arial"/>
      <w:sz w:val="22"/>
      <w:szCs w:val="22"/>
    </w:rPr>
  </w:style>
  <w:style w:type="character" w:styleId="1037" w:customStyle="1">
    <w:name w:val="标准文本 Char"/>
    <w:uiPriority w:val="0"/>
    <w:qFormat/>
    <w:rPr>
      <w:rFonts w:eastAsia="宋体" w:cs="宋体"/>
      <w:sz w:val="24"/>
      <w:szCs w:val="24"/>
      <w:lang w:val="en-US" w:eastAsia="zh-CN" w:bidi="ar-SA"/>
    </w:rPr>
  </w:style>
  <w:style w:type="character" w:styleId="1038" w:customStyle="1">
    <w:name w:val="样式 非加粗"/>
    <w:uiPriority w:val="0"/>
    <w:qFormat/>
    <w:rPr>
      <w:rFonts w:eastAsia="宋体"/>
      <w:sz w:val="28"/>
    </w:rPr>
  </w:style>
  <w:style w:type="character" w:styleId="1039" w:customStyle="1">
    <w:name w:val="样式3 Char Char"/>
    <w:uiPriority w:val="0"/>
    <w:qFormat/>
    <w:rPr>
      <w:rFonts w:hint="eastAsia" w:ascii="宋体" w:hAnsi="宋体" w:eastAsia="宋体"/>
      <w:sz w:val="24"/>
      <w:szCs w:val="24"/>
      <w:lang w:val="en-US" w:eastAsia="zh-CN"/>
    </w:rPr>
  </w:style>
  <w:style w:type="character" w:styleId="1040" w:customStyle="1">
    <w:name w:val="正文首行缩进 2 Char"/>
    <w:link w:val="1041"/>
    <w:uiPriority w:val="0"/>
    <w:semiHidden/>
    <w:qFormat/>
    <w:rPr>
      <w:rFonts w:ascii="宋体" w:hAnsi="宋体" w:eastAsia="楷体_GB2312"/>
      <w:sz w:val="24"/>
      <w:szCs w:val="32"/>
    </w:rPr>
  </w:style>
  <w:style w:type="paragraph" w:styleId="1041" w:customStyle="1">
    <w:name w:val="正文首行缩进 21"/>
    <w:basedOn w:val="664"/>
    <w:link w:val="1040"/>
    <w:uiPriority w:val="0"/>
    <w:semiHidden/>
    <w:qFormat/>
    <w:rPr>
      <w:rFonts w:ascii="宋体" w:hAnsi="宋体" w:eastAsia="楷体_GB2312"/>
      <w:sz w:val="24"/>
      <w:szCs w:val="32"/>
    </w:rPr>
  </w:style>
  <w:style w:type="character" w:styleId="1042" w:customStyle="1">
    <w:name w:val="不明显参考1"/>
    <w:uiPriority w:val="0"/>
    <w:qFormat/>
    <w:rPr>
      <w:smallCaps/>
    </w:rPr>
  </w:style>
  <w:style w:type="character" w:styleId="1043" w:customStyle="1">
    <w:name w:val="表格抬头 Char"/>
    <w:link w:val="1044"/>
    <w:uiPriority w:val="0"/>
    <w:qFormat/>
    <w:rPr>
      <w:rFonts w:ascii="黑体" w:eastAsia="黑体"/>
      <w:b/>
      <w:sz w:val="21"/>
    </w:rPr>
  </w:style>
  <w:style w:type="paragraph" w:styleId="1044" w:customStyle="1">
    <w:name w:val="表格抬头"/>
    <w:basedOn w:val="664"/>
    <w:link w:val="1043"/>
    <w:uiPriority w:val="0"/>
    <w:qFormat/>
    <w:pPr>
      <w:jc w:val="center"/>
    </w:pPr>
    <w:rPr>
      <w:rFonts w:ascii="黑体" w:eastAsia="黑体"/>
      <w:b/>
      <w:szCs w:val="20"/>
    </w:rPr>
  </w:style>
  <w:style w:type="character" w:styleId="1045" w:customStyle="1">
    <w:name w:val="style31"/>
    <w:uiPriority w:val="0"/>
    <w:qFormat/>
    <w:rPr>
      <w:sz w:val="23"/>
      <w:szCs w:val="23"/>
    </w:rPr>
  </w:style>
  <w:style w:type="character" w:styleId="1046" w:customStyle="1">
    <w:name w:val="正文文本 Char"/>
    <w:uiPriority w:val="0"/>
    <w:qFormat/>
    <w:rPr>
      <w:rFonts w:ascii="Calibri" w:hAnsi="Calibri" w:eastAsia="宋体" w:cs="Times New Roman"/>
    </w:rPr>
  </w:style>
  <w:style w:type="character" w:styleId="1047" w:customStyle="1">
    <w:name w:val="样式5 Char Char"/>
    <w:uiPriority w:val="0"/>
    <w:qFormat/>
    <w:rPr>
      <w:rFonts w:hint="eastAsia" w:ascii="宋体" w:hAnsi="宋体" w:eastAsia="宋体"/>
      <w:sz w:val="24"/>
      <w:szCs w:val="30"/>
      <w:lang w:val="en-US" w:eastAsia="zh-CN"/>
    </w:rPr>
  </w:style>
  <w:style w:type="character" w:styleId="1048" w:customStyle="1">
    <w:name w:val="subtitle1"/>
    <w:uiPriority w:val="0"/>
    <w:qFormat/>
    <w:rPr>
      <w:rFonts w:ascii="Georgia" w:hAnsi="Georgia"/>
      <w:b/>
      <w:bCs/>
      <w:color w:val="666666"/>
      <w:sz w:val="18"/>
      <w:szCs w:val="18"/>
    </w:rPr>
  </w:style>
  <w:style w:type="character" w:styleId="1049" w:customStyle="1">
    <w:name w:val="webtrans_meaning1"/>
    <w:uiPriority w:val="0"/>
    <w:qFormat/>
    <w:rPr>
      <w:rFonts w:ascii="Arial" w:hAnsi="Arial" w:cs="Arial"/>
      <w:sz w:val="24"/>
      <w:szCs w:val="24"/>
    </w:rPr>
  </w:style>
  <w:style w:type="character" w:styleId="1050" w:customStyle="1">
    <w:name w:val="Char Char28"/>
    <w:uiPriority w:val="0"/>
    <w:qFormat/>
    <w:rPr>
      <w:rFonts w:ascii="Arial" w:hAnsi="Arial" w:eastAsia="黑体" w:cs="Arial"/>
      <w:b/>
      <w:bCs/>
      <w:sz w:val="32"/>
      <w:szCs w:val="32"/>
    </w:rPr>
  </w:style>
  <w:style w:type="character" w:styleId="1051" w:customStyle="1">
    <w:name w:val="style1"/>
    <w:basedOn w:val="855"/>
    <w:uiPriority w:val="0"/>
    <w:qFormat/>
  </w:style>
  <w:style w:type="character" w:styleId="1052" w:customStyle="1">
    <w:name w:val="小四 段落 宋体 Char Char Char Char Char"/>
    <w:uiPriority w:val="0"/>
    <w:qFormat/>
    <w:rPr>
      <w:rFonts w:eastAsia="宋体"/>
      <w:sz w:val="24"/>
      <w:szCs w:val="24"/>
      <w:lang w:val="en-US" w:eastAsia="zh-CN" w:bidi="ar-SA"/>
    </w:rPr>
  </w:style>
  <w:style w:type="character" w:styleId="1053" w:customStyle="1">
    <w:name w:val="Char Char29"/>
    <w:uiPriority w:val="0"/>
    <w:qFormat/>
    <w:rPr>
      <w:rFonts w:ascii="Times New Roman" w:hAnsi="Times New Roman" w:eastAsia="宋体" w:cs="Times New Roman"/>
      <w:b/>
      <w:bCs/>
      <w:sz w:val="44"/>
      <w:szCs w:val="44"/>
    </w:rPr>
  </w:style>
  <w:style w:type="character" w:styleId="1054" w:customStyle="1">
    <w:name w:val="normalfont1"/>
    <w:uiPriority w:val="0"/>
    <w:qFormat/>
    <w:rPr>
      <w:rFonts w:ascii="ˎ̥" w:hAnsi="ˎ̥"/>
      <w:sz w:val="18"/>
      <w:szCs w:val="18"/>
      <w:u w:val="none"/>
    </w:rPr>
  </w:style>
  <w:style w:type="character" w:styleId="1055" w:customStyle="1">
    <w:name w:val="Char Char26"/>
    <w:uiPriority w:val="0"/>
    <w:qFormat/>
    <w:rPr>
      <w:b/>
      <w:bCs/>
      <w:sz w:val="32"/>
      <w:szCs w:val="32"/>
    </w:rPr>
  </w:style>
  <w:style w:type="character" w:styleId="1056" w:customStyle="1">
    <w:name w:val="listbenefit"/>
    <w:uiPriority w:val="0"/>
    <w:qFormat/>
  </w:style>
  <w:style w:type="character" w:styleId="1057" w:customStyle="1">
    <w:name w:val="正文缩进 Char1"/>
    <w:link w:val="1058"/>
    <w:uiPriority w:val="0"/>
    <w:qFormat/>
  </w:style>
  <w:style w:type="paragraph" w:styleId="1058" w:customStyle="1">
    <w:name w:val="正文缩进1"/>
    <w:basedOn w:val="664"/>
    <w:link w:val="1057"/>
    <w:uiPriority w:val="0"/>
    <w:qFormat/>
    <w:pPr>
      <w:ind w:firstLine="420"/>
    </w:pPr>
    <w:rPr>
      <w:sz w:val="20"/>
      <w:szCs w:val="20"/>
    </w:rPr>
  </w:style>
  <w:style w:type="character" w:styleId="1059" w:customStyle="1">
    <w:name w:val="样式 标题 22nd levelh22Header 2l2H2部分标题H2 CharTitre2标题2节名... Char Char"/>
    <w:link w:val="1060"/>
    <w:uiPriority w:val="0"/>
    <w:semiHidden/>
    <w:qFormat/>
    <w:rPr>
      <w:rFonts w:ascii="宋体" w:hAnsi="宋体" w:cs="宋体"/>
      <w:b/>
      <w:bCs/>
      <w:sz w:val="30"/>
    </w:rPr>
  </w:style>
  <w:style w:type="paragraph" w:styleId="1060" w:customStyle="1">
    <w:name w:val="样式 标题 22nd levelh22Header 2l2H2部分标题H2 CharTitre2标题2节名..."/>
    <w:basedOn w:val="846"/>
    <w:link w:val="1059"/>
    <w:uiPriority w:val="0"/>
    <w:semiHidden/>
    <w:qFormat/>
    <w:pPr>
      <w:ind w:left="840" w:hanging="420"/>
      <w:jc w:val="both"/>
      <w:keepLines w:val="0"/>
      <w:keepNext w:val="0"/>
      <w:spacing w:before="120" w:after="0" w:line="360" w:lineRule="auto"/>
    </w:pPr>
    <w:rPr>
      <w:rFonts w:ascii="宋体" w:hAnsi="宋体" w:eastAsia="宋体" w:cs="宋体"/>
      <w:bCs/>
      <w:sz w:val="30"/>
      <w:lang w:eastAsia="zh-CN"/>
    </w:rPr>
  </w:style>
  <w:style w:type="character" w:styleId="1061" w:customStyle="1">
    <w:name w:val="正文文本 3 Char1"/>
    <w:uiPriority w:val="0"/>
    <w:qFormat/>
    <w:rPr>
      <w:rFonts w:ascii="Calibri" w:hAnsi="Calibri" w:cs="黑体"/>
      <w:sz w:val="16"/>
      <w:szCs w:val="16"/>
    </w:rPr>
  </w:style>
  <w:style w:type="character" w:styleId="1062" w:customStyle="1">
    <w:name w:val="Char Char27"/>
    <w:uiPriority w:val="0"/>
    <w:qFormat/>
    <w:rPr>
      <w:b/>
      <w:bCs/>
      <w:sz w:val="44"/>
      <w:szCs w:val="44"/>
    </w:rPr>
  </w:style>
  <w:style w:type="character" w:styleId="1063" w:customStyle="1">
    <w:name w:val="一级目录 Char"/>
    <w:link w:val="1064"/>
    <w:uiPriority w:val="0"/>
    <w:qFormat/>
    <w:rPr>
      <w:rFonts w:ascii="黑体" w:hAnsi="黑体" w:eastAsia="黑体"/>
      <w:b/>
      <w:sz w:val="44"/>
      <w:szCs w:val="44"/>
    </w:rPr>
  </w:style>
  <w:style w:type="paragraph" w:styleId="1064" w:customStyle="1">
    <w:name w:val="一级目录"/>
    <w:next w:val="664"/>
    <w:link w:val="1063"/>
    <w:uiPriority w:val="0"/>
    <w:qFormat/>
    <w:pPr>
      <w:jc w:val="center"/>
      <w:outlineLvl w:val="0"/>
    </w:pPr>
    <w:rPr>
      <w:rFonts w:ascii="黑体" w:hAnsi="黑体" w:eastAsia="黑体" w:cs="Times New Roman"/>
      <w:b/>
      <w:sz w:val="44"/>
      <w:szCs w:val="44"/>
      <w:lang w:val="en-US" w:eastAsia="zh-CN" w:bidi="ar-SA"/>
    </w:rPr>
  </w:style>
  <w:style w:type="character" w:styleId="1065" w:customStyle="1">
    <w:name w:val="标题 3 Char2"/>
    <w:uiPriority w:val="0"/>
    <w:qFormat/>
    <w:rPr>
      <w:rFonts w:ascii="宋体" w:hAnsi="宋体" w:eastAsia="宋体"/>
      <w:b/>
      <w:sz w:val="21"/>
      <w:szCs w:val="21"/>
      <w:shd w:val="clear" w:color="auto" w:fill="ffffff"/>
    </w:rPr>
  </w:style>
  <w:style w:type="character" w:styleId="1066" w:customStyle="1">
    <w:name w:val="无间隔 字符"/>
    <w:link w:val="1067"/>
    <w:uiPriority w:val="0"/>
    <w:qFormat/>
    <w:rPr>
      <w:rFonts w:eastAsia="微软雅黑"/>
      <w:sz w:val="24"/>
      <w:szCs w:val="22"/>
    </w:rPr>
  </w:style>
  <w:style w:type="paragraph" w:styleId="1067" w:customStyle="1">
    <w:name w:val="无间隔1"/>
    <w:link w:val="1066"/>
    <w:uiPriority w:val="0"/>
    <w:qFormat/>
    <w:pPr>
      <w:jc w:val="both"/>
      <w:widowControl w:val="off"/>
    </w:pPr>
    <w:rPr>
      <w:rFonts w:ascii="Calibri" w:hAnsi="Calibri" w:eastAsia="微软雅黑" w:cs="Times New Roman"/>
      <w:sz w:val="24"/>
      <w:szCs w:val="22"/>
      <w:lang w:val="en-US" w:eastAsia="zh-CN" w:bidi="ar-SA"/>
    </w:rPr>
  </w:style>
  <w:style w:type="character" w:styleId="1068" w:customStyle="1">
    <w:name w:val="Char Char23"/>
    <w:uiPriority w:val="0"/>
    <w:qFormat/>
    <w:rPr>
      <w:rFonts w:ascii="Arial" w:hAnsi="Arial" w:eastAsia="黑体"/>
      <w:b/>
      <w:bCs/>
      <w:sz w:val="24"/>
      <w:szCs w:val="24"/>
    </w:rPr>
  </w:style>
  <w:style w:type="character" w:styleId="1069" w:customStyle="1">
    <w:name w:val="纯文本 Char_0"/>
    <w:link w:val="1070"/>
    <w:uiPriority w:val="0"/>
    <w:qFormat/>
    <w:rPr>
      <w:rFonts w:ascii="宋体" w:hAnsi="Courier New"/>
      <w:sz w:val="28"/>
    </w:rPr>
  </w:style>
  <w:style w:type="paragraph" w:styleId="1070" w:customStyle="1">
    <w:name w:val="纯文本_0"/>
    <w:basedOn w:val="1010"/>
    <w:link w:val="1069"/>
    <w:uiPriority w:val="0"/>
    <w:qFormat/>
    <w:rPr>
      <w:rFonts w:ascii="宋体" w:hAnsi="Courier New"/>
      <w:sz w:val="28"/>
    </w:rPr>
  </w:style>
  <w:style w:type="character" w:styleId="1071" w:customStyle="1">
    <w:name w:val="引用 字符1"/>
    <w:link w:val="1072"/>
    <w:uiPriority w:val="0"/>
    <w:qFormat/>
    <w:rPr>
      <w:i/>
      <w:iCs/>
      <w:sz w:val="22"/>
      <w:szCs w:val="22"/>
      <w:lang w:eastAsia="en-US" w:bidi="en-US"/>
    </w:rPr>
  </w:style>
  <w:style w:type="paragraph" w:styleId="1072" w:customStyle="1">
    <w:name w:val="引用1"/>
    <w:basedOn w:val="664"/>
    <w:next w:val="664"/>
    <w:link w:val="1071"/>
    <w:uiPriority w:val="0"/>
    <w:qFormat/>
    <w:pPr>
      <w:ind w:left="360" w:right="360"/>
      <w:jc w:val="left"/>
      <w:spacing w:before="200" w:line="276" w:lineRule="auto"/>
      <w:widowControl/>
    </w:pPr>
    <w:rPr>
      <w:i/>
      <w:iCs/>
      <w:sz w:val="22"/>
      <w:szCs w:val="22"/>
      <w:lang w:eastAsia="en-US" w:bidi="en-US"/>
    </w:rPr>
  </w:style>
  <w:style w:type="character" w:styleId="1073" w:customStyle="1">
    <w:name w:val="引用 字符"/>
    <w:uiPriority w:val="99"/>
    <w:qFormat/>
    <w:rPr>
      <w:i/>
      <w:iCs/>
      <w:color w:val="404040"/>
      <w:sz w:val="21"/>
      <w:szCs w:val="24"/>
    </w:rPr>
  </w:style>
  <w:style w:type="character" w:styleId="1074" w:customStyle="1">
    <w:name w:val="text1"/>
    <w:uiPriority w:val="0"/>
    <w:qFormat/>
    <w:rPr>
      <w:rFonts w:hint="eastAsia" w:ascii="宋体" w:hAnsi="宋体" w:eastAsia="宋体"/>
      <w:sz w:val="24"/>
      <w:szCs w:val="24"/>
      <w:lang w:val="en-US" w:eastAsia="zh-CN"/>
    </w:rPr>
  </w:style>
  <w:style w:type="character" w:styleId="1075" w:customStyle="1">
    <w:name w:val="111111 Char"/>
    <w:link w:val="1076"/>
    <w:uiPriority w:val="0"/>
    <w:qFormat/>
    <w:rPr>
      <w:rFonts w:ascii="宋体" w:hAnsi="宋体" w:eastAsia="黑体" w:cs="宋体"/>
      <w:b/>
      <w:bCs/>
      <w:sz w:val="21"/>
      <w:szCs w:val="21"/>
    </w:rPr>
  </w:style>
  <w:style w:type="paragraph" w:styleId="1076" w:customStyle="1">
    <w:name w:val="111111"/>
    <w:basedOn w:val="664"/>
    <w:link w:val="1075"/>
    <w:uiPriority w:val="0"/>
    <w:qFormat/>
    <w:pPr>
      <w:jc w:val="center"/>
      <w:spacing w:before="120" w:after="120"/>
    </w:pPr>
    <w:rPr>
      <w:rFonts w:ascii="宋体" w:hAnsi="宋体" w:eastAsia="黑体" w:cs="宋体"/>
      <w:b/>
      <w:bCs/>
      <w:szCs w:val="21"/>
    </w:rPr>
  </w:style>
  <w:style w:type="character" w:styleId="1077" w:customStyle="1">
    <w:name w:val="point_normal1"/>
    <w:uiPriority w:val="0"/>
    <w:qFormat/>
    <w:rPr>
      <w:rFonts w:ascii="Arial" w:hAnsi="Arial" w:cs="Arial"/>
      <w:sz w:val="18"/>
      <w:szCs w:val="18"/>
    </w:rPr>
  </w:style>
  <w:style w:type="character" w:styleId="1078" w:customStyle="1">
    <w:name w:val="二级目录 Char Char"/>
    <w:uiPriority w:val="0"/>
    <w:qFormat/>
    <w:rPr>
      <w:rFonts w:eastAsia="Times New Roman"/>
      <w:b/>
      <w:sz w:val="30"/>
      <w:szCs w:val="28"/>
      <w:lang w:val="en-US" w:eastAsia="zh-CN" w:bidi="ar-SA"/>
    </w:rPr>
  </w:style>
  <w:style w:type="character" w:styleId="1079" w:customStyle="1">
    <w:name w:val="样式 宋体 小四"/>
    <w:uiPriority w:val="0"/>
    <w:qFormat/>
    <w:rPr>
      <w:rFonts w:ascii="宋体" w:hAnsi="宋体"/>
      <w:sz w:val="24"/>
    </w:rPr>
  </w:style>
  <w:style w:type="character" w:styleId="1080" w:customStyle="1">
    <w:name w:val="concon"/>
    <w:uiPriority w:val="0"/>
    <w:qFormat/>
  </w:style>
  <w:style w:type="character" w:styleId="1081" w:customStyle="1">
    <w:name w:val="标题 Char1"/>
    <w:uiPriority w:val="0"/>
    <w:qFormat/>
    <w:rPr>
      <w:rFonts w:ascii="Cambria" w:eastAsia="宋体" w:cs="Times New Roman"/>
      <w:b/>
      <w:bCs/>
      <w:sz w:val="32"/>
      <w:szCs w:val="32"/>
    </w:rPr>
  </w:style>
  <w:style w:type="character" w:styleId="1082" w:customStyle="1">
    <w:name w:val="textcontents"/>
    <w:basedOn w:val="855"/>
    <w:uiPriority w:val="0"/>
    <w:qFormat/>
  </w:style>
  <w:style w:type="character" w:styleId="1083" w:customStyle="1">
    <w:name w:val="书籍标题1"/>
    <w:uiPriority w:val="0"/>
    <w:qFormat/>
    <w:rPr>
      <w:i/>
      <w:iCs/>
      <w:smallCaps/>
      <w:spacing w:val="5"/>
    </w:rPr>
  </w:style>
  <w:style w:type="character" w:styleId="1084" w:customStyle="1">
    <w:name w:val="批注文字 Char1"/>
    <w:uiPriority w:val="99"/>
    <w:semiHidden/>
    <w:qFormat/>
    <w:rPr>
      <w:rFonts w:ascii="Calibri" w:hAnsi="Calibri" w:eastAsia="宋体" w:cs="Times New Roman"/>
    </w:rPr>
  </w:style>
  <w:style w:type="character" w:styleId="1085" w:customStyle="1">
    <w:name w:val="Char Char17"/>
    <w:uiPriority w:val="0"/>
    <w:qFormat/>
    <w:rPr>
      <w:rFonts w:ascii="宋体" w:hAnsi="Courier New"/>
      <w:sz w:val="21"/>
      <w:szCs w:val="21"/>
    </w:rPr>
  </w:style>
  <w:style w:type="character" w:styleId="1086" w:customStyle="1">
    <w:name w:val="标题 字符1"/>
    <w:link w:val="1087"/>
    <w:uiPriority w:val="10"/>
    <w:qFormat/>
    <w:rPr>
      <w:rFonts w:eastAsia="黑体"/>
      <w:b/>
      <w:sz w:val="28"/>
      <w:lang w:val="en-GB"/>
    </w:rPr>
  </w:style>
  <w:style w:type="paragraph" w:styleId="1087" w:customStyle="1">
    <w:name w:val="标题4"/>
    <w:basedOn w:val="664"/>
    <w:link w:val="1086"/>
    <w:uiPriority w:val="10"/>
    <w:qFormat/>
    <w:pPr>
      <w:jc w:val="center"/>
      <w:spacing w:line="420" w:lineRule="exact"/>
      <w:widowControl/>
    </w:pPr>
    <w:rPr>
      <w:rFonts w:eastAsia="黑体"/>
      <w:b/>
      <w:sz w:val="28"/>
      <w:szCs w:val="20"/>
      <w:lang w:val="en-GB"/>
    </w:rPr>
  </w:style>
  <w:style w:type="character" w:styleId="1088" w:customStyle="1">
    <w:name w:val="标题 字符"/>
    <w:uiPriority w:val="0"/>
    <w:qFormat/>
    <w:rPr>
      <w:rFonts w:ascii="等线 Light" w:hAnsi="等线 Light" w:cs="Times New Roman"/>
      <w:b/>
      <w:bCs/>
      <w:sz w:val="32"/>
      <w:szCs w:val="32"/>
    </w:rPr>
  </w:style>
  <w:style w:type="character" w:styleId="1089" w:customStyle="1">
    <w:name w:val="case31"/>
    <w:uiPriority w:val="0"/>
    <w:qFormat/>
    <w:rPr>
      <w:sz w:val="21"/>
      <w:szCs w:val="21"/>
    </w:rPr>
  </w:style>
  <w:style w:type="character" w:styleId="1090" w:customStyle="1">
    <w:name w:val="注释标题 Char"/>
    <w:link w:val="1091"/>
    <w:uiPriority w:val="0"/>
    <w:semiHidden/>
    <w:qFormat/>
    <w:rPr>
      <w:sz w:val="28"/>
      <w:szCs w:val="24"/>
    </w:rPr>
  </w:style>
  <w:style w:type="paragraph" w:styleId="1091" w:customStyle="1">
    <w:name w:val="注释标题1"/>
    <w:basedOn w:val="664"/>
    <w:next w:val="664"/>
    <w:link w:val="1090"/>
    <w:uiPriority w:val="0"/>
    <w:semiHidden/>
    <w:qFormat/>
    <w:pPr>
      <w:jc w:val="center"/>
      <w:tabs>
        <w:tab w:val="left" w:pos="266" w:leader="none"/>
      </w:tabs>
    </w:pPr>
    <w:rPr>
      <w:sz w:val="28"/>
    </w:rPr>
  </w:style>
  <w:style w:type="character" w:styleId="1092" w:customStyle="1">
    <w:name w:val="blacktext"/>
    <w:uiPriority w:val="0"/>
    <w:qFormat/>
    <w:rPr>
      <w:rFonts w:hint="eastAsia" w:ascii="宋体" w:hAnsi="宋体" w:eastAsia="宋体"/>
      <w:sz w:val="24"/>
      <w:szCs w:val="24"/>
      <w:lang w:val="en-US" w:eastAsia="zh-CN"/>
    </w:rPr>
  </w:style>
  <w:style w:type="character" w:styleId="1093" w:customStyle="1">
    <w:name w:val="标题 3 Char Char"/>
    <w:uiPriority w:val="0"/>
    <w:qFormat/>
    <w:rPr>
      <w:rFonts w:eastAsia="仿宋_GB2312"/>
      <w:b/>
      <w:bCs/>
      <w:sz w:val="28"/>
      <w:szCs w:val="32"/>
      <w:lang w:val="en-US" w:eastAsia="zh-CN" w:bidi="ar-SA"/>
    </w:rPr>
  </w:style>
  <w:style w:type="character" w:styleId="1094" w:customStyle="1">
    <w:name w:val="文一 Char Char"/>
    <w:link w:val="1095"/>
    <w:uiPriority w:val="0"/>
    <w:semiHidden/>
    <w:qFormat/>
    <w:rPr>
      <w:spacing w:val="4"/>
      <w:sz w:val="24"/>
      <w:szCs w:val="24"/>
    </w:rPr>
  </w:style>
  <w:style w:type="paragraph" w:styleId="1095" w:customStyle="1">
    <w:name w:val="文一"/>
    <w:basedOn w:val="664"/>
    <w:link w:val="1094"/>
    <w:uiPriority w:val="0"/>
    <w:semiHidden/>
    <w:qFormat/>
    <w:pPr>
      <w:ind w:firstLine="200"/>
      <w:spacing w:line="360" w:lineRule="auto"/>
    </w:pPr>
    <w:rPr>
      <w:spacing w:val="4"/>
      <w:sz w:val="24"/>
    </w:rPr>
  </w:style>
  <w:style w:type="character" w:styleId="1096" w:customStyle="1">
    <w:name w:val="华宇段落1 Char Char"/>
    <w:uiPriority w:val="0"/>
    <w:qFormat/>
    <w:rPr>
      <w:rFonts w:eastAsia="宋体"/>
      <w:bCs/>
      <w:sz w:val="24"/>
      <w:szCs w:val="24"/>
      <w:lang w:val="en-US" w:eastAsia="zh-CN" w:bidi="ar-SA"/>
    </w:rPr>
  </w:style>
  <w:style w:type="character" w:styleId="1097" w:customStyle="1">
    <w:name w:val="正文 + 宋体 Char"/>
    <w:uiPriority w:val="0"/>
    <w:qFormat/>
    <w:rPr>
      <w:rFonts w:eastAsia="宋体"/>
      <w:sz w:val="21"/>
      <w:szCs w:val="24"/>
      <w:lang w:val="en-US" w:eastAsia="zh-CN" w:bidi="ar-SA"/>
    </w:rPr>
  </w:style>
  <w:style w:type="character" w:styleId="1098" w:customStyle="1">
    <w:name w:val="bold1"/>
    <w:uiPriority w:val="0"/>
    <w:qFormat/>
    <w:rPr>
      <w:rFonts w:hint="eastAsia" w:ascii="宋体" w:hAnsi="宋体" w:eastAsia="宋体"/>
      <w:b/>
      <w:bCs/>
      <w:sz w:val="24"/>
      <w:szCs w:val="24"/>
      <w:lang w:val="en-US" w:eastAsia="zh-CN"/>
    </w:rPr>
  </w:style>
  <w:style w:type="character" w:styleId="1099" w:customStyle="1">
    <w:name w:val="content"/>
    <w:basedOn w:val="855"/>
    <w:uiPriority w:val="0"/>
    <w:qFormat/>
  </w:style>
  <w:style w:type="character" w:styleId="1100" w:customStyle="1">
    <w:name w:val="已访问的超链接1"/>
    <w:uiPriority w:val="0"/>
    <w:qFormat/>
    <w:rPr>
      <w:color w:val="000000"/>
      <w:u w:val="none"/>
    </w:rPr>
  </w:style>
  <w:style w:type="character" w:styleId="1101" w:customStyle="1">
    <w:name w:val="h Char Char"/>
    <w:uiPriority w:val="0"/>
    <w:qFormat/>
    <w:rPr>
      <w:rFonts w:eastAsia="宋体"/>
      <w:sz w:val="18"/>
      <w:szCs w:val="18"/>
      <w:lang w:val="en-US" w:eastAsia="zh-CN" w:bidi="ar-SA"/>
    </w:rPr>
  </w:style>
  <w:style w:type="character" w:styleId="1102" w:customStyle="1">
    <w:name w:val="小四 段落 宋体 Char1"/>
    <w:uiPriority w:val="0"/>
    <w:qFormat/>
    <w:rPr>
      <w:rFonts w:eastAsia="宋体"/>
      <w:sz w:val="24"/>
      <w:szCs w:val="24"/>
      <w:lang w:val="en-US" w:eastAsia="zh-CN" w:bidi="ar-SA"/>
    </w:rPr>
  </w:style>
  <w:style w:type="character" w:styleId="1103" w:customStyle="1">
    <w:name w:val="!标题2 Ctrl+2 Char Char"/>
    <w:link w:val="1104"/>
    <w:uiPriority w:val="0"/>
    <w:semiHidden/>
    <w:qFormat/>
    <w:rPr>
      <w:rFonts w:ascii="Arial" w:hAnsi="Arial" w:eastAsia="黑体" w:cs="Arial"/>
      <w:b/>
      <w:sz w:val="36"/>
      <w:szCs w:val="36"/>
    </w:rPr>
  </w:style>
  <w:style w:type="paragraph" w:styleId="1104" w:customStyle="1">
    <w:name w:val="!标题2 Ctrl+2"/>
    <w:basedOn w:val="846"/>
    <w:next w:val="1017"/>
    <w:link w:val="1103"/>
    <w:uiPriority w:val="0"/>
    <w:semiHidden/>
    <w:qFormat/>
    <w:pPr>
      <w:ind w:left="567" w:hanging="567"/>
      <w:jc w:val="both"/>
      <w:keepLines w:val="0"/>
      <w:keepNext w:val="0"/>
      <w:spacing w:after="0" w:line="360" w:lineRule="auto"/>
      <w:tabs>
        <w:tab w:val="left" w:pos="567" w:leader="none"/>
      </w:tabs>
    </w:pPr>
    <w:rPr>
      <w:rFonts w:eastAsia="黑体" w:cs="Arial"/>
      <w:sz w:val="36"/>
      <w:szCs w:val="36"/>
      <w:lang w:eastAsia="zh-CN"/>
    </w:rPr>
  </w:style>
  <w:style w:type="character" w:styleId="1105" w:customStyle="1">
    <w:name w:val="样式 标题 1 Char Char"/>
    <w:uiPriority w:val="0"/>
    <w:qFormat/>
    <w:rPr>
      <w:rFonts w:hint="eastAsia" w:ascii="宋体" w:hAnsi="宋体" w:eastAsia="宋体"/>
      <w:b/>
      <w:bCs/>
      <w:sz w:val="32"/>
      <w:lang w:val="en-US" w:eastAsia="zh-CN"/>
    </w:rPr>
  </w:style>
  <w:style w:type="character" w:styleId="1106" w:customStyle="1">
    <w:name w:val="标题 1 Char1"/>
    <w:uiPriority w:val="0"/>
    <w:qFormat/>
    <w:rPr>
      <w:rFonts w:hint="eastAsia" w:ascii="宋体" w:hAnsi="宋体" w:eastAsia="宋体"/>
      <w:b/>
      <w:bCs/>
      <w:sz w:val="28"/>
      <w:lang w:val="en-US" w:eastAsia="zh-CN"/>
    </w:rPr>
  </w:style>
  <w:style w:type="character" w:styleId="1107" w:customStyle="1">
    <w:name w:val="小四 段落 宋体 Char Char Char Char1"/>
    <w:uiPriority w:val="0"/>
    <w:qFormat/>
    <w:rPr>
      <w:rFonts w:eastAsia="宋体"/>
      <w:sz w:val="24"/>
      <w:szCs w:val="24"/>
      <w:lang w:val="en-US" w:eastAsia="zh-CN" w:bidi="ar-SA"/>
    </w:rPr>
  </w:style>
  <w:style w:type="character" w:styleId="1108" w:customStyle="1">
    <w:name w:val="param-value"/>
    <w:basedOn w:val="855"/>
    <w:uiPriority w:val="0"/>
    <w:qFormat/>
  </w:style>
  <w:style w:type="character" w:styleId="1109" w:customStyle="1">
    <w:name w:val="meaning1"/>
    <w:uiPriority w:val="0"/>
    <w:qFormat/>
    <w:rPr>
      <w:rFonts w:ascii="Arial" w:hAnsi="Arial" w:cs="Arial"/>
      <w:color w:val="020202"/>
    </w:rPr>
  </w:style>
  <w:style w:type="character" w:styleId="1110" w:customStyle="1">
    <w:name w:val="明显强调1"/>
    <w:uiPriority w:val="0"/>
    <w:qFormat/>
    <w:rPr>
      <w:b/>
      <w:bCs/>
    </w:rPr>
  </w:style>
  <w:style w:type="character" w:styleId="1111" w:customStyle="1">
    <w:name w:val="para_small1"/>
    <w:uiPriority w:val="0"/>
    <w:qFormat/>
    <w:rPr>
      <w:rFonts w:ascii="Arial" w:hAnsi="Arial" w:cs="Arial"/>
      <w:sz w:val="18"/>
      <w:szCs w:val="18"/>
    </w:rPr>
  </w:style>
  <w:style w:type="character" w:styleId="1112" w:customStyle="1">
    <w:name w:val="正文文本 3 Char"/>
    <w:link w:val="1113"/>
    <w:uiPriority w:val="0"/>
    <w:semiHidden/>
    <w:qFormat/>
    <w:rPr>
      <w:sz w:val="16"/>
      <w:szCs w:val="16"/>
    </w:rPr>
  </w:style>
  <w:style w:type="paragraph" w:styleId="1113" w:customStyle="1">
    <w:name w:val="正文文本 31"/>
    <w:basedOn w:val="664"/>
    <w:link w:val="1112"/>
    <w:uiPriority w:val="0"/>
    <w:semiHidden/>
    <w:qFormat/>
    <w:rPr>
      <w:sz w:val="16"/>
      <w:szCs w:val="16"/>
    </w:rPr>
  </w:style>
  <w:style w:type="character" w:styleId="1114" w:customStyle="1">
    <w:name w:val="标题6 Char"/>
    <w:link w:val="1115"/>
    <w:uiPriority w:val="0"/>
    <w:qFormat/>
    <w:rPr>
      <w:rFonts w:eastAsia="黑体"/>
      <w:bCs/>
      <w:sz w:val="24"/>
      <w:szCs w:val="28"/>
    </w:rPr>
  </w:style>
  <w:style w:type="paragraph" w:styleId="1115" w:customStyle="1">
    <w:name w:val="标题6"/>
    <w:basedOn w:val="850"/>
    <w:link w:val="1114"/>
    <w:uiPriority w:val="0"/>
    <w:qFormat/>
    <w:pPr>
      <w:ind w:left="780" w:hanging="780"/>
      <w:keepLines/>
      <w:spacing w:before="145" w:after="145"/>
      <w:tabs>
        <w:tab w:val="left" w:pos="420" w:leader="none"/>
      </w:tabs>
    </w:pPr>
    <w:rPr>
      <w:rFonts w:ascii="Calibri" w:hAnsi="Calibri" w:eastAsia="黑体"/>
      <w:b w:val="0"/>
      <w:sz w:val="24"/>
      <w:szCs w:val="28"/>
      <w:lang w:eastAsia="zh-CN"/>
    </w:rPr>
  </w:style>
  <w:style w:type="character" w:styleId="1116" w:customStyle="1">
    <w:name w:val="style13"/>
    <w:uiPriority w:val="0"/>
    <w:qFormat/>
    <w:rPr>
      <w:sz w:val="18"/>
      <w:szCs w:val="18"/>
    </w:rPr>
  </w:style>
  <w:style w:type="character" w:styleId="1117" w:customStyle="1">
    <w:name w:val="Char Char2"/>
    <w:uiPriority w:val="0"/>
    <w:qFormat/>
    <w:rPr>
      <w:rFonts w:ascii="宋体" w:hAnsi="Courier New" w:eastAsia="宋体"/>
      <w:sz w:val="21"/>
      <w:szCs w:val="21"/>
      <w:lang w:val="en-US" w:eastAsia="zh-CN" w:bidi="ar-SA"/>
    </w:rPr>
  </w:style>
  <w:style w:type="character" w:styleId="1118" w:customStyle="1">
    <w:name w:val="样式 首行缩进:  2 字符 Char Char"/>
    <w:link w:val="1119"/>
    <w:uiPriority w:val="0"/>
    <w:qFormat/>
    <w:rPr>
      <w:rFonts w:cs="宋体"/>
      <w:sz w:val="24"/>
    </w:rPr>
  </w:style>
  <w:style w:type="paragraph" w:styleId="1119" w:customStyle="1">
    <w:name w:val="样式 首行缩进:  2 字符"/>
    <w:basedOn w:val="664"/>
    <w:link w:val="1118"/>
    <w:uiPriority w:val="0"/>
    <w:qFormat/>
    <w:pPr>
      <w:ind w:firstLine="480"/>
      <w:spacing w:line="360" w:lineRule="auto"/>
    </w:pPr>
    <w:rPr>
      <w:rFonts w:cs="宋体"/>
      <w:sz w:val="24"/>
      <w:szCs w:val="20"/>
    </w:rPr>
  </w:style>
  <w:style w:type="character" w:styleId="1120" w:customStyle="1">
    <w:name w:val="para_small"/>
    <w:basedOn w:val="855"/>
    <w:uiPriority w:val="0"/>
    <w:qFormat/>
  </w:style>
  <w:style w:type="character" w:styleId="1121" w:customStyle="1">
    <w:name w:val="Char Char24"/>
    <w:uiPriority w:val="0"/>
    <w:qFormat/>
    <w:rPr>
      <w:b/>
      <w:bCs/>
      <w:sz w:val="28"/>
      <w:szCs w:val="28"/>
    </w:rPr>
  </w:style>
  <w:style w:type="character" w:styleId="1122" w:customStyle="1">
    <w:name w:val="标题 2 Char Char Char"/>
    <w:uiPriority w:val="0"/>
    <w:qFormat/>
    <w:rPr>
      <w:rFonts w:hint="eastAsia" w:ascii="楷体_GB2312" w:eastAsia="楷体_GB2312"/>
      <w:b/>
      <w:spacing w:val="20"/>
      <w:sz w:val="28"/>
      <w:szCs w:val="24"/>
      <w:lang w:val="en-US" w:eastAsia="zh-CN"/>
    </w:rPr>
  </w:style>
  <w:style w:type="character" w:styleId="1123" w:customStyle="1">
    <w:name w:val="批注主题 Char1"/>
    <w:uiPriority w:val="0"/>
    <w:qFormat/>
    <w:rPr>
      <w:rFonts w:ascii="Calibri" w:hAnsi="Calibri" w:eastAsia="宋体" w:cs="Times New Roman"/>
      <w:b/>
      <w:bCs/>
    </w:rPr>
  </w:style>
  <w:style w:type="character" w:styleId="1124" w:customStyle="1">
    <w:name w:val="批注引用1"/>
    <w:uiPriority w:val="0"/>
    <w:qFormat/>
    <w:rPr>
      <w:sz w:val="21"/>
      <w:szCs w:val="21"/>
    </w:rPr>
  </w:style>
  <w:style w:type="character" w:styleId="1125" w:customStyle="1">
    <w:name w:val="newscontent1"/>
    <w:uiPriority w:val="0"/>
    <w:qFormat/>
    <w:rPr>
      <w:rFonts w:ascii="Verdana" w:hAnsi="Verdana" w:eastAsia="宋体"/>
      <w:color w:val="333333"/>
      <w:sz w:val="18"/>
      <w:szCs w:val="18"/>
      <w:lang w:val="en-US" w:eastAsia="zh-CN"/>
    </w:rPr>
  </w:style>
  <w:style w:type="character" w:styleId="1126" w:customStyle="1">
    <w:name w:val="标准小四 Char"/>
    <w:uiPriority w:val="0"/>
    <w:qFormat/>
    <w:rPr>
      <w:rFonts w:ascii="Arial" w:hAnsi="Arial" w:eastAsia="宋体"/>
      <w:sz w:val="24"/>
      <w:szCs w:val="21"/>
      <w:lang w:val="en-US" w:eastAsia="zh-CN" w:bidi="ar-SA"/>
    </w:rPr>
  </w:style>
  <w:style w:type="character" w:styleId="1127" w:customStyle="1">
    <w:name w:val="样式 四号 红色"/>
    <w:uiPriority w:val="0"/>
    <w:qFormat/>
    <w:rPr>
      <w:rFonts w:hint="eastAsia" w:ascii="宋体" w:hAnsi="宋体" w:eastAsia="宋体"/>
      <w:color w:val="000000"/>
      <w:sz w:val="24"/>
      <w:szCs w:val="24"/>
    </w:rPr>
  </w:style>
  <w:style w:type="character" w:styleId="1128" w:customStyle="1">
    <w:name w:val="style11"/>
    <w:uiPriority w:val="0"/>
    <w:qFormat/>
    <w:rPr>
      <w:color w:val="990000"/>
    </w:rPr>
  </w:style>
  <w:style w:type="character" w:styleId="1129" w:customStyle="1">
    <w:name w:val="正文首行缩进 Char"/>
    <w:link w:val="1130"/>
    <w:uiPriority w:val="0"/>
    <w:semiHidden/>
    <w:qFormat/>
    <w:rPr>
      <w:rFonts w:ascii="Arial" w:hAnsi="Arial" w:eastAsia="楷体_GB2312" w:cs="Arial"/>
      <w:sz w:val="28"/>
      <w:szCs w:val="28"/>
    </w:rPr>
  </w:style>
  <w:style w:type="paragraph" w:styleId="1130" w:customStyle="1">
    <w:name w:val="正文首行缩进1"/>
    <w:basedOn w:val="664"/>
    <w:link w:val="1129"/>
    <w:uiPriority w:val="0"/>
    <w:semiHidden/>
    <w:qFormat/>
    <w:pPr>
      <w:ind w:left="1418" w:firstLine="510"/>
      <w:spacing w:line="240" w:lineRule="atLeast"/>
    </w:pPr>
    <w:rPr>
      <w:rFonts w:ascii="Arial" w:hAnsi="Arial" w:eastAsia="楷体_GB2312" w:cs="Arial"/>
      <w:sz w:val="28"/>
      <w:szCs w:val="28"/>
    </w:rPr>
  </w:style>
  <w:style w:type="character" w:styleId="1131" w:customStyle="1">
    <w:name w:val="特点 Char1"/>
    <w:uiPriority w:val="0"/>
    <w:qFormat/>
    <w:rPr>
      <w:rFonts w:eastAsia="宋体"/>
      <w:sz w:val="21"/>
      <w:lang w:val="en-US" w:eastAsia="zh-CN" w:bidi="ar-SA"/>
    </w:rPr>
  </w:style>
  <w:style w:type="character" w:styleId="1132" w:customStyle="1">
    <w:name w:val="标准文本 Char Char"/>
    <w:uiPriority w:val="0"/>
    <w:qFormat/>
    <w:rPr>
      <w:rFonts w:eastAsia="宋体" w:cs="宋体"/>
      <w:sz w:val="24"/>
      <w:szCs w:val="24"/>
      <w:lang w:val="en-US" w:eastAsia="zh-CN" w:bidi="ar-SA"/>
    </w:rPr>
  </w:style>
  <w:style w:type="character" w:styleId="1133" w:customStyle="1">
    <w:name w:val="小四 段落 宋体 Char Char Char Char Char Char Char Char"/>
    <w:uiPriority w:val="0"/>
    <w:qFormat/>
    <w:rPr>
      <w:rFonts w:eastAsia="宋体"/>
      <w:sz w:val="24"/>
      <w:szCs w:val="24"/>
      <w:lang w:val="en-US" w:eastAsia="zh-CN" w:bidi="ar-SA"/>
    </w:rPr>
  </w:style>
  <w:style w:type="character" w:styleId="1134" w:customStyle="1">
    <w:name w:val="副标题 Char1"/>
    <w:uiPriority w:val="11"/>
    <w:qFormat/>
    <w:rPr>
      <w:rFonts w:ascii="Cambria" w:hAnsi="Cambria" w:cs="Times New Roman"/>
      <w:b/>
      <w:bCs/>
      <w:sz w:val="32"/>
      <w:szCs w:val="32"/>
    </w:rPr>
  </w:style>
  <w:style w:type="character" w:styleId="1135" w:customStyle="1">
    <w:name w:val="Char Char20"/>
    <w:uiPriority w:val="0"/>
    <w:qFormat/>
    <w:rPr>
      <w:rFonts w:ascii="Arial" w:hAnsi="Arial" w:eastAsia="黑体"/>
      <w:sz w:val="21"/>
      <w:szCs w:val="21"/>
    </w:rPr>
  </w:style>
  <w:style w:type="character" w:styleId="1136" w:customStyle="1">
    <w:name w:val="content1"/>
    <w:uiPriority w:val="0"/>
    <w:qFormat/>
    <w:rPr>
      <w:rFonts w:hint="eastAsia" w:ascii="宋体" w:hAnsi="宋体" w:eastAsia="宋体"/>
      <w:sz w:val="24"/>
      <w:szCs w:val="24"/>
      <w:lang w:val="en-US" w:eastAsia="zh-CN"/>
    </w:rPr>
  </w:style>
  <w:style w:type="character" w:styleId="1137" w:customStyle="1">
    <w:name w:val="副标题 字符1"/>
    <w:link w:val="1138"/>
    <w:uiPriority w:val="0"/>
    <w:qFormat/>
    <w:rPr>
      <w:rFonts w:ascii="Cambria" w:hAnsi="Cambria"/>
      <w:i/>
      <w:iCs/>
      <w:spacing w:val="13"/>
      <w:sz w:val="24"/>
      <w:szCs w:val="24"/>
      <w:lang w:eastAsia="en-US" w:bidi="en-US"/>
    </w:rPr>
  </w:style>
  <w:style w:type="paragraph" w:styleId="1138" w:customStyle="1">
    <w:name w:val="副标题1"/>
    <w:basedOn w:val="664"/>
    <w:next w:val="664"/>
    <w:link w:val="1137"/>
    <w:uiPriority w:val="0"/>
    <w:qFormat/>
    <w:pPr>
      <w:jc w:val="left"/>
      <w:spacing w:after="600" w:line="276" w:lineRule="auto"/>
      <w:widowControl/>
    </w:pPr>
    <w:rPr>
      <w:rFonts w:ascii="Cambria" w:hAnsi="Cambria"/>
      <w:i/>
      <w:iCs/>
      <w:spacing w:val="13"/>
      <w:sz w:val="24"/>
      <w:lang w:eastAsia="en-US" w:bidi="en-US"/>
    </w:rPr>
  </w:style>
  <w:style w:type="character" w:styleId="1139" w:customStyle="1">
    <w:name w:val="副标题 字符"/>
    <w:uiPriority w:val="0"/>
    <w:qFormat/>
    <w:rPr>
      <w:rFonts w:ascii="等线 Light" w:hAnsi="等线 Light" w:cs="Times New Roman"/>
      <w:b/>
      <w:bCs/>
      <w:sz w:val="32"/>
      <w:szCs w:val="32"/>
    </w:rPr>
  </w:style>
  <w:style w:type="character" w:styleId="1140" w:customStyle="1">
    <w:name w:val="2nd level Char"/>
    <w:uiPriority w:val="0"/>
    <w:qFormat/>
    <w:rPr>
      <w:rFonts w:ascii="Arial" w:hAnsi="Arial" w:eastAsia="黑体"/>
      <w:b/>
      <w:bCs/>
      <w:sz w:val="32"/>
      <w:szCs w:val="32"/>
      <w:lang w:val="en-US" w:eastAsia="zh-CN" w:bidi="ar-SA"/>
    </w:rPr>
  </w:style>
  <w:style w:type="character" w:styleId="1141" w:customStyle="1">
    <w:name w:val="apple-converted-space"/>
    <w:basedOn w:val="855"/>
    <w:uiPriority w:val="0"/>
    <w:qFormat/>
  </w:style>
  <w:style w:type="character" w:styleId="1142" w:customStyle="1">
    <w:name w:val="style131"/>
    <w:uiPriority w:val="0"/>
    <w:qFormat/>
    <w:rPr>
      <w:rFonts w:cs="Times New Roman"/>
      <w:sz w:val="18"/>
      <w:szCs w:val="18"/>
    </w:rPr>
  </w:style>
  <w:style w:type="character" w:styleId="1143" w:customStyle="1">
    <w:name w:val="标准小四 Char Char"/>
    <w:uiPriority w:val="0"/>
    <w:qFormat/>
    <w:rPr>
      <w:rFonts w:ascii="Arial" w:hAnsi="Arial" w:eastAsia="宋体"/>
      <w:sz w:val="24"/>
      <w:szCs w:val="21"/>
      <w:lang w:val="en-US" w:eastAsia="zh-CN" w:bidi="ar-SA"/>
    </w:rPr>
  </w:style>
  <w:style w:type="character" w:styleId="1144" w:customStyle="1">
    <w:name w:val="页码1"/>
    <w:basedOn w:val="855"/>
    <w:uiPriority w:val="0"/>
    <w:qFormat/>
  </w:style>
  <w:style w:type="character" w:styleId="1145" w:customStyle="1">
    <w:name w:val="t1"/>
    <w:uiPriority w:val="0"/>
    <w:qFormat/>
  </w:style>
  <w:style w:type="character" w:styleId="114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47" w:customStyle="1">
    <w:name w:val="content_lineheight1"/>
    <w:basedOn w:val="855"/>
    <w:uiPriority w:val="0"/>
    <w:qFormat/>
  </w:style>
  <w:style w:type="character" w:styleId="1148" w:customStyle="1">
    <w:name w:val="style171"/>
    <w:uiPriority w:val="0"/>
    <w:qFormat/>
    <w:rPr>
      <w:rFonts w:hint="eastAsia" w:ascii="宋体" w:hAnsi="宋体" w:eastAsia="宋体"/>
      <w:color w:val="666666"/>
      <w:sz w:val="18"/>
      <w:szCs w:val="18"/>
      <w:lang w:val="en-US" w:eastAsia="zh-CN"/>
    </w:rPr>
  </w:style>
  <w:style w:type="character" w:styleId="1149" w:customStyle="1">
    <w:name w:val="Char Char22"/>
    <w:uiPriority w:val="0"/>
    <w:qFormat/>
    <w:rPr>
      <w:b/>
      <w:bCs/>
      <w:sz w:val="24"/>
      <w:szCs w:val="24"/>
    </w:rPr>
  </w:style>
  <w:style w:type="character" w:styleId="1150" w:customStyle="1">
    <w:name w:val="redtext1"/>
    <w:uiPriority w:val="0"/>
    <w:qFormat/>
    <w:rPr>
      <w:rFonts w:ascii="ˎ̥" w:hAnsi="ˎ̥" w:eastAsia="宋体"/>
      <w:color w:val="cc0000"/>
      <w:sz w:val="18"/>
      <w:szCs w:val="18"/>
      <w:lang w:val="en-US" w:eastAsia="zh-CN"/>
    </w:rPr>
  </w:style>
  <w:style w:type="character" w:styleId="1151" w:customStyle="1">
    <w:name w:val="symbol"/>
    <w:uiPriority w:val="0"/>
    <w:qFormat/>
    <w:rPr>
      <w:rFonts w:ascii="Symbol" w:hAnsi="Symbol" w:eastAsia="宋体"/>
      <w:color w:val="000000"/>
      <w:sz w:val="16"/>
      <w:szCs w:val="16"/>
      <w:lang w:val="en-US" w:eastAsia="zh-CN"/>
    </w:rPr>
  </w:style>
  <w:style w:type="character" w:styleId="1152" w:customStyle="1">
    <w:name w:val="小四 段落 宋体 Char Char Char1"/>
    <w:uiPriority w:val="0"/>
    <w:qFormat/>
    <w:rPr>
      <w:rFonts w:ascii="宋体" w:hAnsi="宋体" w:eastAsia="宋体"/>
      <w:sz w:val="24"/>
      <w:szCs w:val="24"/>
      <w:lang w:val="en-US" w:eastAsia="zh-CN" w:bidi="ar-SA"/>
    </w:rPr>
  </w:style>
  <w:style w:type="character" w:styleId="1153" w:customStyle="1">
    <w:name w:val="纯文本 Char Char Char1"/>
    <w:uiPriority w:val="0"/>
    <w:qFormat/>
    <w:rPr>
      <w:rFonts w:ascii="宋体" w:hAnsi="Courier New" w:eastAsia="宋体"/>
      <w:sz w:val="21"/>
      <w:szCs w:val="21"/>
      <w:lang w:val="en-US" w:eastAsia="zh-CN" w:bidi="ar-SA"/>
    </w:rPr>
  </w:style>
  <w:style w:type="character" w:styleId="1154" w:customStyle="1">
    <w:name w:val="body1"/>
    <w:uiPriority w:val="0"/>
    <w:qFormat/>
    <w:rPr>
      <w:spacing w:val="432"/>
      <w:sz w:val="18"/>
      <w:szCs w:val="18"/>
    </w:rPr>
  </w:style>
  <w:style w:type="character" w:styleId="1155" w:customStyle="1">
    <w:name w:val="样式4 Char Char"/>
    <w:uiPriority w:val="0"/>
    <w:qFormat/>
    <w:rPr>
      <w:rFonts w:hint="eastAsia" w:ascii="宋体" w:hAnsi="宋体" w:eastAsia="宋体"/>
      <w:sz w:val="24"/>
      <w:szCs w:val="30"/>
      <w:lang w:val="en-US" w:eastAsia="zh-CN"/>
    </w:rPr>
  </w:style>
  <w:style w:type="character" w:styleId="1156" w:customStyle="1">
    <w:name w:val="l151"/>
    <w:uiPriority w:val="0"/>
    <w:qFormat/>
    <w:rPr>
      <w:rFonts w:hint="eastAsia" w:ascii="宋体" w:hAnsi="宋体" w:eastAsia="宋体"/>
      <w:sz w:val="24"/>
      <w:szCs w:val="24"/>
      <w:lang w:val="en-US" w:eastAsia="zh-CN"/>
    </w:rPr>
  </w:style>
  <w:style w:type="character" w:styleId="1157" w:customStyle="1">
    <w:name w:val="blue1"/>
    <w:uiPriority w:val="0"/>
    <w:qFormat/>
    <w:rPr>
      <w:color w:val="242da1"/>
    </w:rPr>
  </w:style>
  <w:style w:type="character" w:styleId="1158" w:customStyle="1">
    <w:name w:val="style6 style2"/>
    <w:basedOn w:val="855"/>
    <w:uiPriority w:val="0"/>
    <w:qFormat/>
  </w:style>
  <w:style w:type="character" w:styleId="1159" w:customStyle="1">
    <w:name w:val="样式8 Char Char"/>
    <w:uiPriority w:val="0"/>
    <w:qFormat/>
    <w:rPr>
      <w:rFonts w:hint="eastAsia" w:ascii="宋体" w:hAnsi="宋体" w:eastAsia="宋体"/>
      <w:sz w:val="24"/>
      <w:szCs w:val="24"/>
      <w:lang w:val="en-US" w:eastAsia="zh-CN"/>
    </w:rPr>
  </w:style>
  <w:style w:type="character" w:styleId="1160" w:customStyle="1">
    <w:name w:val="font161"/>
    <w:uiPriority w:val="0"/>
    <w:qFormat/>
    <w:rPr>
      <w:b/>
      <w:sz w:val="32"/>
    </w:rPr>
  </w:style>
  <w:style w:type="character" w:styleId="1161" w:customStyle="1">
    <w:name w:val="批注文字 Char2"/>
    <w:uiPriority w:val="0"/>
    <w:qFormat/>
    <w:rPr>
      <w:sz w:val="21"/>
    </w:rPr>
  </w:style>
  <w:style w:type="character" w:styleId="1162" w:customStyle="1">
    <w:name w:val="明显引用 Char1"/>
    <w:uiPriority w:val="30"/>
    <w:qFormat/>
    <w:rPr>
      <w:b/>
      <w:bCs/>
      <w:i/>
      <w:iCs/>
      <w:color w:val="4f81bd"/>
      <w:sz w:val="21"/>
      <w:szCs w:val="22"/>
    </w:rPr>
  </w:style>
  <w:style w:type="character" w:styleId="1163" w:customStyle="1">
    <w:name w:val="引用 Char1"/>
    <w:uiPriority w:val="29"/>
    <w:qFormat/>
    <w:rPr>
      <w:i/>
      <w:iCs/>
      <w:color w:val="000000"/>
      <w:sz w:val="21"/>
      <w:szCs w:val="22"/>
    </w:rPr>
  </w:style>
  <w:style w:type="character" w:styleId="1164" w:customStyle="1">
    <w:name w:val="标题5 Char Char"/>
    <w:uiPriority w:val="0"/>
    <w:qFormat/>
    <w:rPr>
      <w:rFonts w:ascii="Arial" w:hAnsi="Arial"/>
      <w:b/>
      <w:bCs/>
      <w:sz w:val="24"/>
      <w:szCs w:val="32"/>
    </w:rPr>
  </w:style>
  <w:style w:type="character" w:styleId="1165" w:customStyle="1">
    <w:name w:val="批注主题 Char2"/>
    <w:uiPriority w:val="99"/>
    <w:qFormat/>
  </w:style>
  <w:style w:type="character" w:styleId="1166" w:customStyle="1">
    <w:name w:val="rvts55"/>
    <w:uiPriority w:val="0"/>
    <w:qFormat/>
    <w:rPr>
      <w:rFonts w:ascii=":ZLe" w:hAnsi=":ZLe"/>
      <w:color w:val="000000"/>
      <w:sz w:val="18"/>
      <w:szCs w:val="18"/>
      <w:u w:val="single"/>
    </w:rPr>
  </w:style>
  <w:style w:type="paragraph" w:styleId="1167" w:customStyle="1">
    <w:name w:val="Char Char"/>
    <w:basedOn w:val="664"/>
    <w:uiPriority w:val="0"/>
    <w:qFormat/>
    <w:rPr>
      <w:rFonts w:ascii="Tahoma" w:hAnsi="Tahoma"/>
      <w:sz w:val="24"/>
      <w:szCs w:val="20"/>
    </w:rPr>
  </w:style>
  <w:style w:type="paragraph" w:styleId="1168" w:customStyle="1">
    <w:name w:val="签名1"/>
    <w:basedOn w:val="664"/>
    <w:link w:val="1169"/>
    <w:uiPriority w:val="0"/>
    <w:qFormat/>
    <w:pPr>
      <w:jc w:val="center"/>
      <w:spacing w:after="600" w:line="312" w:lineRule="atLeast"/>
    </w:pPr>
    <w:rPr>
      <w:rFonts w:eastAsia="仿宋_GB2312"/>
      <w:sz w:val="24"/>
      <w:szCs w:val="20"/>
    </w:rPr>
  </w:style>
  <w:style w:type="character" w:styleId="1169" w:customStyle="1">
    <w:name w:val="签名 字符"/>
    <w:link w:val="1168"/>
    <w:uiPriority w:val="0"/>
    <w:qFormat/>
    <w:rPr>
      <w:rFonts w:eastAsia="仿宋_GB2312"/>
      <w:sz w:val="24"/>
    </w:rPr>
  </w:style>
  <w:style w:type="paragraph" w:styleId="1170" w:customStyle="1">
    <w:name w:val="列表项目符号 51"/>
    <w:basedOn w:val="664"/>
    <w:uiPriority w:val="99"/>
    <w:unhideWhenUsed/>
    <w:qFormat/>
    <w:pPr>
      <w:ind w:left="780" w:hanging="420"/>
      <w:spacing w:before="60" w:after="60" w:line="360" w:lineRule="auto"/>
      <w:tabs>
        <w:tab w:val="left" w:pos="425" w:leader="none"/>
        <w:tab w:val="left" w:pos="2040" w:leader="none"/>
      </w:tabs>
    </w:pPr>
    <w:rPr>
      <w:rFonts w:ascii="Arial" w:hAnsi="Arial"/>
      <w:sz w:val="24"/>
      <w:szCs w:val="20"/>
    </w:rPr>
  </w:style>
  <w:style w:type="paragraph" w:styleId="1171" w:customStyle="1">
    <w:name w:val="列表编号 21"/>
    <w:basedOn w:val="664"/>
    <w:uiPriority w:val="0"/>
    <w:qFormat/>
    <w:pPr>
      <w:ind w:left="1440" w:hanging="1440"/>
      <w:spacing w:line="360" w:lineRule="auto"/>
      <w:tabs>
        <w:tab w:val="left" w:pos="1440" w:leader="none"/>
      </w:tabs>
    </w:pPr>
    <w:rPr>
      <w:sz w:val="24"/>
    </w:rPr>
  </w:style>
  <w:style w:type="paragraph" w:styleId="1172" w:customStyle="1">
    <w:name w:val="xl87"/>
    <w:basedOn w:val="66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b/>
      <w:bCs/>
      <w:szCs w:val="21"/>
    </w:rPr>
  </w:style>
  <w:style w:type="paragraph" w:styleId="1173" w:customStyle="1">
    <w:name w:val="xl53"/>
    <w:basedOn w:val="66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74" w:customStyle="1">
    <w:name w:val="xl70"/>
    <w:basedOn w:val="664"/>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character" w:styleId="1175" w:customStyle="1">
    <w:name w:val="标题 Char3"/>
    <w:uiPriority w:val="0"/>
    <w:qFormat/>
    <w:rPr>
      <w:rFonts w:ascii="Cambria" w:hAnsi="Cambria" w:cs="Times New Roman"/>
      <w:b/>
      <w:bCs/>
      <w:sz w:val="32"/>
      <w:szCs w:val="32"/>
    </w:rPr>
  </w:style>
  <w:style w:type="paragraph" w:styleId="1176" w:customStyle="1">
    <w:name w:val="正文文本 New New"/>
    <w:basedOn w:val="664"/>
    <w:uiPriority w:val="0"/>
    <w:qFormat/>
    <w:pPr>
      <w:ind w:firstLine="200"/>
      <w:spacing w:before="60" w:after="60" w:line="360" w:lineRule="auto"/>
      <w:widowControl/>
    </w:pPr>
    <w:rPr>
      <w:rFonts w:eastAsia="华文楷体"/>
      <w:sz w:val="24"/>
    </w:rPr>
  </w:style>
  <w:style w:type="character" w:styleId="1177" w:customStyle="1">
    <w:name w:val="副标题 Char2"/>
    <w:uiPriority w:val="0"/>
    <w:qFormat/>
    <w:rPr>
      <w:rFonts w:ascii="Cambria" w:hAnsi="Cambria" w:cs="Times New Roman"/>
      <w:b/>
      <w:bCs/>
      <w:sz w:val="32"/>
      <w:szCs w:val="32"/>
    </w:rPr>
  </w:style>
  <w:style w:type="paragraph" w:styleId="1178" w:customStyle="1">
    <w:name w:val="xl40"/>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79" w:customStyle="1">
    <w:name w:val="尾注文本1"/>
    <w:basedOn w:val="664"/>
    <w:link w:val="1180"/>
    <w:uiPriority w:val="0"/>
    <w:qFormat/>
    <w:pPr>
      <w:jc w:val="left"/>
    </w:pPr>
    <w:rPr>
      <w:sz w:val="20"/>
    </w:rPr>
  </w:style>
  <w:style w:type="character" w:styleId="1180" w:customStyle="1">
    <w:name w:val="尾注文本 字符"/>
    <w:link w:val="1179"/>
    <w:uiPriority w:val="0"/>
    <w:qFormat/>
    <w:rPr>
      <w:szCs w:val="24"/>
    </w:rPr>
  </w:style>
  <w:style w:type="paragraph" w:styleId="1181" w:customStyle="1">
    <w:name w:val="列表编号1"/>
    <w:basedOn w:val="664"/>
    <w:uiPriority w:val="99"/>
    <w:qFormat/>
    <w:pPr>
      <w:ind w:left="2952" w:hanging="432"/>
      <w:tabs>
        <w:tab w:val="left" w:pos="2952" w:leader="none"/>
      </w:tabs>
    </w:pPr>
  </w:style>
  <w:style w:type="paragraph" w:styleId="1182" w:customStyle="1">
    <w:name w:val="索引 41"/>
    <w:basedOn w:val="664"/>
    <w:next w:val="664"/>
    <w:uiPriority w:val="0"/>
    <w:qFormat/>
    <w:pPr>
      <w:ind w:left="1260"/>
    </w:pPr>
    <w:rPr>
      <w:szCs w:val="20"/>
    </w:rPr>
  </w:style>
  <w:style w:type="paragraph" w:styleId="1183" w:customStyle="1">
    <w:name w:val="脚注文本1"/>
    <w:basedOn w:val="664"/>
    <w:link w:val="1184"/>
    <w:uiPriority w:val="0"/>
    <w:qFormat/>
    <w:pPr>
      <w:jc w:val="left"/>
    </w:pPr>
    <w:rPr>
      <w:sz w:val="18"/>
      <w:szCs w:val="18"/>
    </w:rPr>
  </w:style>
  <w:style w:type="character" w:styleId="1184" w:customStyle="1">
    <w:name w:val="脚注文本 字符"/>
    <w:link w:val="1183"/>
    <w:uiPriority w:val="0"/>
    <w:qFormat/>
    <w:rPr>
      <w:sz w:val="18"/>
      <w:szCs w:val="18"/>
    </w:rPr>
  </w:style>
  <w:style w:type="paragraph" w:styleId="1185" w:customStyle="1">
    <w:name w:val="丁华标题1"/>
    <w:basedOn w:val="845"/>
    <w:next w:val="1186"/>
    <w:uiPriority w:val="0"/>
    <w:qFormat/>
    <w:pPr>
      <w:ind w:left="907" w:hanging="907"/>
      <w:jc w:val="left"/>
      <w:keepLines/>
      <w:spacing w:before="600" w:after="120" w:line="578" w:lineRule="auto"/>
      <w:tabs>
        <w:tab w:val="left" w:pos="567" w:leader="none"/>
        <w:tab w:val="left" w:pos="907" w:leader="none"/>
        <w:tab w:val="left" w:pos="1440" w:leader="none"/>
      </w:tabs>
    </w:pPr>
    <w:rPr>
      <w:rFonts w:ascii="Times New Roman" w:eastAsia="黑体"/>
      <w:sz w:val="32"/>
    </w:rPr>
  </w:style>
  <w:style w:type="paragraph" w:styleId="1186" w:customStyle="1">
    <w:name w:val="丁华正文"/>
    <w:basedOn w:val="888"/>
    <w:uiPriority w:val="0"/>
    <w:qFormat/>
    <w:pPr>
      <w:ind w:firstLine="510"/>
      <w:spacing w:line="360" w:lineRule="auto"/>
    </w:pPr>
    <w:rPr>
      <w:rFonts w:ascii="Times New Roman" w:hAnsi="Times New Roman" w:eastAsia="宋体"/>
      <w:szCs w:val="16"/>
      <w:lang w:eastAsia="zh-CN"/>
    </w:rPr>
  </w:style>
  <w:style w:type="paragraph" w:styleId="1187" w:customStyle="1">
    <w:name w:val="Char Char1"/>
    <w:basedOn w:val="664"/>
    <w:uiPriority w:val="0"/>
    <w:qFormat/>
    <w:rPr>
      <w:rFonts w:ascii="Tahoma" w:hAnsi="Tahoma"/>
      <w:sz w:val="24"/>
      <w:szCs w:val="20"/>
    </w:rPr>
  </w:style>
  <w:style w:type="character" w:styleId="1188" w:customStyle="1">
    <w:name w:val="称呼 Char1"/>
    <w:uiPriority w:val="0"/>
    <w:semiHidden/>
    <w:qFormat/>
    <w:rPr>
      <w:sz w:val="21"/>
      <w:szCs w:val="24"/>
    </w:rPr>
  </w:style>
  <w:style w:type="paragraph" w:styleId="1189" w:customStyle="1">
    <w:name w:val="xl38"/>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0" w:customStyle="1">
    <w:name w:val="Char Char Char Char Char Char Char Char Char Char Char"/>
    <w:basedOn w:val="664"/>
    <w:uiPriority w:val="0"/>
    <w:qFormat/>
    <w:rPr>
      <w:rFonts w:ascii="Tahoma" w:hAnsi="Tahoma"/>
      <w:sz w:val="24"/>
      <w:szCs w:val="20"/>
    </w:rPr>
  </w:style>
  <w:style w:type="paragraph" w:styleId="1191" w:customStyle="1">
    <w:name w:val="☆ 正文"/>
    <w:basedOn w:val="664"/>
    <w:uiPriority w:val="99"/>
    <w:qFormat/>
    <w:rPr>
      <w:szCs w:val="22"/>
    </w:rPr>
  </w:style>
  <w:style w:type="paragraph" w:styleId="1192" w:customStyle="1">
    <w:name w:val="xl65"/>
    <w:basedOn w:val="664"/>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193" w:customStyle="1">
    <w:name w:val="Test2"/>
    <w:basedOn w:val="846"/>
    <w:uiPriority w:val="0"/>
    <w:qFormat/>
    <w:pPr>
      <w:spacing w:before="156" w:after="156" w:line="480" w:lineRule="exact"/>
      <w:widowControl/>
    </w:pPr>
    <w:rPr>
      <w:rFonts w:ascii="黑体" w:eastAsia="黑体"/>
      <w:bCs/>
      <w:sz w:val="24"/>
      <w:szCs w:val="24"/>
      <w:lang w:eastAsia="zh-CN"/>
    </w:rPr>
  </w:style>
  <w:style w:type="paragraph" w:styleId="1194" w:customStyle="1">
    <w:name w:val="公文标题 2"/>
    <w:basedOn w:val="664"/>
    <w:next w:val="1195"/>
    <w:uiPriority w:val="0"/>
    <w:qFormat/>
    <w:pPr>
      <w:outlineLvl w:val="1"/>
    </w:pPr>
    <w:rPr>
      <w:rFonts w:ascii="仿宋_GB2312" w:hAnsi="宋体" w:eastAsia="仿宋_GB2312"/>
      <w:sz w:val="28"/>
    </w:rPr>
  </w:style>
  <w:style w:type="paragraph" w:styleId="1195" w:customStyle="1">
    <w:name w:val="公文正文"/>
    <w:basedOn w:val="872"/>
    <w:uiPriority w:val="0"/>
    <w:qFormat/>
    <w:pPr>
      <w:ind w:firstLine="200"/>
    </w:pPr>
    <w:rPr>
      <w:rFonts w:ascii="仿宋_GB2312" w:hAnsi="宋体" w:eastAsia="仿宋_GB2312"/>
      <w:sz w:val="28"/>
      <w:szCs w:val="24"/>
      <w:lang w:eastAsia="zh-CN"/>
    </w:rPr>
  </w:style>
  <w:style w:type="paragraph" w:styleId="1196" w:customStyle="1">
    <w:name w:val="小四 段落 宋体 Char Char Char"/>
    <w:basedOn w:val="1181"/>
    <w:uiPriority w:val="0"/>
    <w:qFormat/>
    <w:pPr>
      <w:ind w:left="0" w:right="-33" w:firstLine="545"/>
      <w:jc w:val="left"/>
      <w:spacing w:line="360" w:lineRule="auto"/>
      <w:tabs>
        <w:tab w:val="clear" w:pos="2952" w:leader="none"/>
      </w:tabs>
    </w:pPr>
    <w:rPr>
      <w:sz w:val="24"/>
    </w:rPr>
  </w:style>
  <w:style w:type="paragraph" w:styleId="1197" w:customStyle="1">
    <w:name w:val="华宇段落1 Char"/>
    <w:basedOn w:val="664"/>
    <w:uiPriority w:val="0"/>
    <w:qFormat/>
    <w:pPr>
      <w:ind w:firstLine="200"/>
      <w:spacing w:line="360" w:lineRule="auto"/>
    </w:pPr>
    <w:rPr>
      <w:bCs/>
      <w:sz w:val="24"/>
    </w:rPr>
  </w:style>
  <w:style w:type="paragraph" w:styleId="1198" w:customStyle="1">
    <w:name w:val="Normal_0"/>
    <w:uiPriority w:val="99"/>
    <w:qFormat/>
    <w:rPr>
      <w:rFonts w:ascii="Calibri" w:hAnsi="Calibri" w:eastAsia="Times New Roman" w:cs="Times New Roman"/>
      <w:sz w:val="24"/>
      <w:szCs w:val="24"/>
      <w:lang w:val="en-US" w:eastAsia="zh-CN" w:bidi="ar-SA"/>
    </w:rPr>
  </w:style>
  <w:style w:type="paragraph" w:styleId="1199" w:customStyle="1">
    <w:name w:val="xl51"/>
    <w:basedOn w:val="66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00" w:customStyle="1">
    <w:name w:val="xl63"/>
    <w:basedOn w:val="664"/>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201" w:customStyle="1">
    <w:name w:val="正文1"/>
    <w:basedOn w:val="664"/>
    <w:uiPriority w:val="99"/>
    <w:qFormat/>
    <w:rPr>
      <w:rFonts w:eastAsia="Calibri" w:cs="宋体"/>
      <w:szCs w:val="20"/>
      <w:lang w:val="zh-CN"/>
    </w:rPr>
  </w:style>
  <w:style w:type="paragraph" w:styleId="1202" w:customStyle="1">
    <w:name w:val="正文文本 21"/>
    <w:basedOn w:val="664"/>
    <w:uiPriority w:val="0"/>
    <w:qFormat/>
    <w:pPr>
      <w:ind w:left="720" w:hanging="720"/>
      <w:widowControl/>
    </w:pPr>
    <w:rPr>
      <w:sz w:val="24"/>
      <w:szCs w:val="20"/>
      <w:lang w:val="en-GB"/>
    </w:rPr>
  </w:style>
  <w:style w:type="paragraph" w:styleId="1203" w:customStyle="1">
    <w:name w:val="font10"/>
    <w:basedOn w:val="664"/>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04" w:customStyle="1">
    <w:name w:val="Char Char Char Char Char Char Char Char Char Char Char Char Char Char"/>
    <w:basedOn w:val="664"/>
    <w:uiPriority w:val="0"/>
    <w:qFormat/>
    <w:rPr>
      <w:rFonts w:ascii="Tahoma" w:hAnsi="Tahoma"/>
      <w:sz w:val="24"/>
      <w:szCs w:val="20"/>
    </w:rPr>
  </w:style>
  <w:style w:type="paragraph" w:styleId="1205" w:customStyle="1">
    <w:name w:val="普通文字"/>
    <w:basedOn w:val="664"/>
    <w:next w:val="664"/>
    <w:uiPriority w:val="0"/>
    <w:qFormat/>
    <w:rPr>
      <w:rFonts w:ascii="宋体" w:hAnsi="宋体" w:cs="宋体"/>
      <w:sz w:val="24"/>
      <w:szCs w:val="20"/>
    </w:rPr>
  </w:style>
  <w:style w:type="paragraph" w:styleId="1206" w:customStyle="1">
    <w:name w:val="样式 样式 标题 3H3sect1.2.3BOD 0Heading 3 - oldh3l3CTLevel 3 Head... +..."/>
    <w:basedOn w:val="664"/>
    <w:uiPriority w:val="0"/>
    <w:qFormat/>
    <w:pPr>
      <w:jc w:val="left"/>
      <w:keepLines/>
      <w:keepNext/>
      <w:spacing w:before="156" w:after="156"/>
      <w:outlineLvl w:val="2"/>
    </w:pPr>
    <w:rPr>
      <w:rFonts w:cs="宋体"/>
      <w:b/>
      <w:bCs/>
      <w:sz w:val="24"/>
      <w:szCs w:val="20"/>
    </w:rPr>
  </w:style>
  <w:style w:type="paragraph" w:styleId="1207" w:customStyle="1">
    <w:name w:val="符号与编号"/>
    <w:basedOn w:val="664"/>
    <w:uiPriority w:val="0"/>
    <w:qFormat/>
    <w:pPr>
      <w:ind w:left="900" w:hanging="420"/>
      <w:spacing w:after="156" w:line="400" w:lineRule="atLeast"/>
      <w:tabs>
        <w:tab w:val="left" w:pos="900" w:leader="none"/>
      </w:tabs>
    </w:pPr>
    <w:rPr>
      <w:sz w:val="24"/>
    </w:rPr>
  </w:style>
  <w:style w:type="paragraph" w:styleId="1208"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209" w:customStyle="1">
    <w:name w:val="xl69"/>
    <w:basedOn w:val="66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0" w:customStyle="1">
    <w:name w:val="p0"/>
    <w:basedOn w:val="664"/>
    <w:uiPriority w:val="99"/>
    <w:qFormat/>
    <w:pPr>
      <w:jc w:val="left"/>
      <w:spacing w:before="100" w:beforeAutospacing="1" w:after="100" w:afterAutospacing="1"/>
      <w:widowControl/>
    </w:pPr>
    <w:rPr>
      <w:rFonts w:ascii="宋体" w:hAnsi="宋体" w:cs="宋体"/>
      <w:sz w:val="24"/>
    </w:rPr>
  </w:style>
  <w:style w:type="paragraph" w:styleId="1211" w:customStyle="1">
    <w:name w:val="马刚标题1"/>
    <w:basedOn w:val="845"/>
    <w:next w:val="664"/>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rPr>
  </w:style>
  <w:style w:type="paragraph" w:styleId="1212" w:customStyle="1">
    <w:name w:val="Char Char Char Char Char Char Char Char Char Char Char Char Char Char Char Char Char Char Char Char Char"/>
    <w:basedOn w:val="664"/>
    <w:uiPriority w:val="0"/>
    <w:qFormat/>
    <w:rPr>
      <w:rFonts w:ascii="Tahoma" w:hAnsi="Tahoma" w:cs="Tahoma"/>
      <w:sz w:val="24"/>
      <w:szCs w:val="20"/>
    </w:rPr>
  </w:style>
  <w:style w:type="paragraph" w:styleId="1213" w:customStyle="1">
    <w:name w:val="列表内容"/>
    <w:basedOn w:val="664"/>
    <w:next w:val="664"/>
    <w:uiPriority w:val="0"/>
    <w:qFormat/>
    <w:pPr>
      <w:ind w:left="840" w:hanging="420"/>
      <w:jc w:val="left"/>
      <w:widowControl/>
      <w:tabs>
        <w:tab w:val="left" w:pos="840" w:leader="none"/>
      </w:tabs>
    </w:pPr>
    <w:rPr>
      <w:sz w:val="18"/>
    </w:rPr>
  </w:style>
  <w:style w:type="paragraph" w:styleId="1214" w:customStyle="1">
    <w:name w:val="Char Char Char Char Char Char Char1 Char"/>
    <w:basedOn w:val="664"/>
    <w:uiPriority w:val="0"/>
    <w:qFormat/>
    <w:rPr>
      <w:rFonts w:ascii="Tahoma" w:hAnsi="Tahoma" w:cs="Tahoma"/>
      <w:sz w:val="24"/>
      <w:szCs w:val="20"/>
    </w:rPr>
  </w:style>
  <w:style w:type="paragraph" w:styleId="1215" w:customStyle="1">
    <w:name w:val="Char Char Char Char Char"/>
    <w:basedOn w:val="664"/>
    <w:uiPriority w:val="0"/>
    <w:qFormat/>
    <w:rPr>
      <w:rFonts w:ascii="Tahoma" w:hAnsi="Tahoma"/>
      <w:sz w:val="24"/>
      <w:szCs w:val="20"/>
    </w:rPr>
  </w:style>
  <w:style w:type="paragraph" w:styleId="1216" w:customStyle="1">
    <w:name w:val="Normal_2"/>
    <w:uiPriority w:val="99"/>
    <w:qFormat/>
    <w:pPr>
      <w:jc w:val="both"/>
      <w:widowControl w:val="off"/>
    </w:pPr>
    <w:rPr>
      <w:rFonts w:ascii="Calibri" w:hAnsi="Calibri" w:eastAsia="Times New Roman" w:cs="Times New Roman"/>
      <w:lang w:val="en-US" w:eastAsia="zh-CN" w:bidi="ar-SA"/>
    </w:rPr>
  </w:style>
  <w:style w:type="paragraph" w:styleId="1217" w:customStyle="1">
    <w:name w:val="段"/>
    <w:uiPriority w:val="0"/>
    <w:qFormat/>
    <w:pPr>
      <w:ind w:firstLine="200"/>
      <w:jc w:val="both"/>
    </w:pPr>
    <w:rPr>
      <w:rFonts w:ascii="宋体" w:hAnsi="Calibri" w:eastAsia="宋体" w:cs="Times New Roman"/>
      <w:sz w:val="21"/>
      <w:lang w:val="en-US" w:eastAsia="zh-CN" w:bidi="ar-SA"/>
    </w:rPr>
  </w:style>
  <w:style w:type="paragraph" w:styleId="1218" w:customStyle="1">
    <w:name w:val="greytypebeni"/>
    <w:basedOn w:val="664"/>
    <w:uiPriority w:val="0"/>
    <w:qFormat/>
    <w:pPr>
      <w:jc w:val="left"/>
      <w:widowControl/>
    </w:pPr>
    <w:rPr>
      <w:rFonts w:ascii="宋体" w:hAnsi="宋体" w:cs="宋体"/>
      <w:sz w:val="24"/>
    </w:rPr>
  </w:style>
  <w:style w:type="paragraph" w:styleId="1219" w:customStyle="1">
    <w:name w:val="正文 居中"/>
    <w:basedOn w:val="664"/>
    <w:uiPriority w:val="0"/>
    <w:qFormat/>
    <w:pPr>
      <w:jc w:val="center"/>
      <w:spacing w:line="360" w:lineRule="auto"/>
    </w:pPr>
    <w:rPr>
      <w:sz w:val="24"/>
      <w:szCs w:val="20"/>
    </w:rPr>
  </w:style>
  <w:style w:type="paragraph" w:styleId="1220" w:customStyle="1">
    <w:name w:val="font14"/>
    <w:basedOn w:val="664"/>
    <w:uiPriority w:val="0"/>
    <w:qFormat/>
    <w:pPr>
      <w:jc w:val="left"/>
      <w:spacing w:before="100" w:beforeAutospacing="1" w:after="100" w:afterAutospacing="1"/>
      <w:widowControl/>
    </w:pPr>
    <w:rPr>
      <w:sz w:val="36"/>
      <w:szCs w:val="36"/>
    </w:rPr>
  </w:style>
  <w:style w:type="paragraph" w:styleId="1221" w:customStyle="1">
    <w:name w:val="Char2 Char Char Char Char Char Char1"/>
    <w:basedOn w:val="664"/>
    <w:uiPriority w:val="0"/>
    <w:qFormat/>
    <w:pPr>
      <w:ind w:hanging="425"/>
      <w:keepNext/>
      <w:spacing w:before="80" w:after="80"/>
      <w:widowControl/>
      <w:tabs>
        <w:tab w:val="left" w:pos="425" w:leader="none"/>
      </w:tabs>
    </w:pPr>
    <w:rPr>
      <w:rFonts w:ascii="Arial" w:hAnsi="Arial" w:cs="Arial"/>
      <w:sz w:val="20"/>
      <w:szCs w:val="20"/>
    </w:rPr>
  </w:style>
  <w:style w:type="paragraph" w:styleId="1222" w:customStyle="1">
    <w:name w:val="Char Char Char Char Char Char Char Char Char Char Char Char Char Char Char Char Char Char Char Char Char Char Char"/>
    <w:basedOn w:val="664"/>
    <w:uiPriority w:val="0"/>
    <w:qFormat/>
    <w:rPr>
      <w:rFonts w:ascii="Tahoma" w:hAnsi="Tahoma" w:cs="Tahoma"/>
      <w:sz w:val="24"/>
      <w:szCs w:val="20"/>
    </w:rPr>
  </w:style>
  <w:style w:type="paragraph" w:styleId="1223" w:customStyle="1">
    <w:name w:val="_Style 5"/>
    <w:basedOn w:val="664"/>
    <w:next w:val="664"/>
    <w:uiPriority w:val="99"/>
    <w:qFormat/>
    <w:pPr>
      <w:jc w:val="center"/>
      <w:widowControl/>
      <w:pBdr>
        <w:bottom w:val="single" w:color="000000" w:sz="6" w:space="1"/>
      </w:pBdr>
    </w:pPr>
    <w:rPr>
      <w:rFonts w:ascii="Arial" w:hAnsi="Arial"/>
      <w:vanish/>
      <w:sz w:val="16"/>
      <w:szCs w:val="16"/>
    </w:rPr>
  </w:style>
  <w:style w:type="paragraph" w:styleId="1224" w:customStyle="1">
    <w:name w:val="项目符号：一级"/>
    <w:basedOn w:val="1225"/>
    <w:next w:val="1225"/>
    <w:uiPriority w:val="0"/>
    <w:qFormat/>
    <w:pPr>
      <w:ind w:right="-134"/>
    </w:pPr>
    <w:rPr>
      <w:bCs w:val="0"/>
    </w:rPr>
  </w:style>
  <w:style w:type="paragraph" w:styleId="1225" w:customStyle="1">
    <w:name w:val="正文格式"/>
    <w:basedOn w:val="664"/>
    <w:uiPriority w:val="0"/>
    <w:qFormat/>
    <w:pPr>
      <w:ind w:left="178" w:right="44" w:hanging="178"/>
      <w:jc w:val="left"/>
      <w:spacing w:before="78" w:line="360" w:lineRule="auto"/>
      <w:widowControl/>
    </w:pPr>
    <w:rPr>
      <w:rFonts w:ascii="宋体" w:hAnsi="宋体"/>
      <w:bCs/>
      <w:szCs w:val="21"/>
    </w:rPr>
  </w:style>
  <w:style w:type="paragraph" w:styleId="1226" w:customStyle="1">
    <w:name w:val="Char3"/>
    <w:basedOn w:val="847"/>
    <w:uiPriority w:val="99"/>
    <w:qFormat/>
    <w:pPr>
      <w:ind w:firstLine="480"/>
      <w:spacing w:before="100" w:beforeAutospacing="1" w:after="100" w:afterAutospacing="1" w:line="360" w:lineRule="auto"/>
    </w:pPr>
    <w:rPr>
      <w:sz w:val="24"/>
      <w:szCs w:val="24"/>
    </w:rPr>
  </w:style>
  <w:style w:type="paragraph" w:styleId="1227" w:customStyle="1">
    <w:name w:val="1"/>
    <w:basedOn w:val="664"/>
    <w:next w:val="894"/>
    <w:uiPriority w:val="0"/>
    <w:qFormat/>
    <w:pPr>
      <w:spacing w:line="360" w:lineRule="auto"/>
    </w:pPr>
    <w:rPr>
      <w:rFonts w:eastAsia="仿宋_GB2312"/>
      <w:sz w:val="24"/>
    </w:rPr>
  </w:style>
  <w:style w:type="paragraph" w:styleId="1228" w:customStyle="1">
    <w:name w:val="xl62"/>
    <w:basedOn w:val="66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29" w:customStyle="1">
    <w:name w:val="7"/>
    <w:basedOn w:val="664"/>
    <w:next w:val="922"/>
    <w:uiPriority w:val="0"/>
    <w:qFormat/>
    <w:pPr>
      <w:jc w:val="left"/>
      <w:spacing w:before="100" w:beforeAutospacing="1" w:after="100" w:afterAutospacing="1"/>
      <w:widowControl/>
    </w:pPr>
    <w:rPr>
      <w:rFonts w:ascii="宋体" w:hAnsi="宋体"/>
      <w:sz w:val="24"/>
      <w:szCs w:val="20"/>
    </w:rPr>
  </w:style>
  <w:style w:type="paragraph" w:styleId="1230" w:customStyle="1">
    <w:name w:val="Char1 Char Char Char"/>
    <w:basedOn w:val="664"/>
    <w:uiPriority w:val="0"/>
    <w:qFormat/>
    <w:rPr>
      <w:rFonts w:ascii="Tahoma" w:hAnsi="Tahoma" w:cs="Tahoma"/>
      <w:sz w:val="24"/>
      <w:szCs w:val="20"/>
    </w:rPr>
  </w:style>
  <w:style w:type="paragraph" w:styleId="1231" w:customStyle="1">
    <w:name w:val="正文文本1"/>
    <w:basedOn w:val="664"/>
    <w:uiPriority w:val="99"/>
    <w:qFormat/>
    <w:pPr>
      <w:widowControl/>
    </w:pPr>
    <w:rPr>
      <w:rFonts w:ascii="楷体_GB2312" w:hAnsi="楷体_GB2312" w:eastAsia="楷体_GB2312"/>
      <w:sz w:val="28"/>
      <w:szCs w:val="20"/>
    </w:rPr>
  </w:style>
  <w:style w:type="paragraph" w:styleId="1232" w:customStyle="1">
    <w:name w:val="xl74"/>
    <w:basedOn w:val="664"/>
    <w:uiPriority w:val="99"/>
    <w:qFormat/>
    <w:pPr>
      <w:jc w:val="center"/>
      <w:spacing w:before="100" w:beforeAutospacing="1" w:after="100" w:afterAutospacing="1"/>
      <w:shd w:val="clear" w:color="auto" w:fill="ffffff"/>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233" w:customStyle="1">
    <w:name w:val="正文 + Arial Char"/>
    <w:basedOn w:val="664"/>
    <w:uiPriority w:val="0"/>
    <w:qFormat/>
    <w:pPr>
      <w:ind w:left="315" w:hanging="315"/>
      <w:spacing w:line="300" w:lineRule="auto"/>
      <w:widowControl/>
      <w:tabs>
        <w:tab w:val="left" w:pos="315" w:leader="none"/>
      </w:tabs>
    </w:pPr>
    <w:rPr>
      <w:rFonts w:ascii="Arial" w:hAnsi="Arial" w:cs="Arial"/>
      <w:b/>
      <w:color w:val="000000"/>
      <w:szCs w:val="20"/>
    </w:rPr>
  </w:style>
  <w:style w:type="paragraph" w:styleId="1234" w:customStyle="1">
    <w:name w:val="大标题"/>
    <w:basedOn w:val="664"/>
    <w:next w:val="664"/>
    <w:uiPriority w:val="0"/>
    <w:qFormat/>
    <w:pPr>
      <w:ind w:hanging="420"/>
      <w:pageBreakBefore/>
      <w:spacing w:line="360" w:lineRule="auto"/>
      <w:tabs>
        <w:tab w:val="left" w:pos="420" w:leader="none"/>
      </w:tabs>
      <w:outlineLvl w:val="0"/>
    </w:pPr>
    <w:rPr>
      <w:b/>
      <w:iCs/>
      <w:sz w:val="44"/>
    </w:rPr>
  </w:style>
  <w:style w:type="paragraph" w:styleId="1235" w:customStyle="1">
    <w:name w:val="Char Char Char Char Char Char Char Char Char Char Char Char Char"/>
    <w:basedOn w:val="911"/>
    <w:uiPriority w:val="0"/>
    <w:qFormat/>
    <w:rPr>
      <w:rFonts w:ascii="Tahoma" w:hAnsi="Tahoma"/>
      <w:sz w:val="24"/>
      <w:lang w:eastAsia="zh-CN"/>
    </w:rPr>
  </w:style>
  <w:style w:type="paragraph" w:styleId="1236" w:customStyle="1">
    <w:name w:val="xl67"/>
    <w:basedOn w:val="664"/>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237" w:customStyle="1">
    <w:name w:val="xl32"/>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38" w:customStyle="1">
    <w:name w:val="Char Char Char Char Char Char Char"/>
    <w:basedOn w:val="664"/>
    <w:uiPriority w:val="0"/>
    <w:qFormat/>
    <w:pPr>
      <w:jc w:val="left"/>
    </w:pPr>
    <w:rPr>
      <w:rFonts w:ascii="Tahoma" w:hAnsi="Tahoma"/>
      <w:sz w:val="24"/>
      <w:szCs w:val="20"/>
    </w:rPr>
  </w:style>
  <w:style w:type="paragraph" w:styleId="1239" w:customStyle="1">
    <w:name w:val="马刚标题4"/>
    <w:basedOn w:val="1240"/>
    <w:next w:val="664"/>
    <w:uiPriority w:val="0"/>
    <w:qFormat/>
    <w:pPr>
      <w:spacing w:before="100" w:after="40"/>
      <w:tabs>
        <w:tab w:val="left" w:pos="567" w:leader="none"/>
        <w:tab w:val="left" w:pos="735" w:leader="none"/>
        <w:tab w:val="left" w:pos="1050" w:leader="none"/>
      </w:tabs>
      <w:outlineLvl w:val="3"/>
    </w:pPr>
    <w:rPr>
      <w:b w:val="0"/>
    </w:rPr>
  </w:style>
  <w:style w:type="paragraph" w:styleId="1240" w:customStyle="1">
    <w:name w:val="马刚标题3"/>
    <w:basedOn w:val="664"/>
    <w:next w:val="66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241" w:customStyle="1">
    <w:name w:val="方案正文"/>
    <w:basedOn w:val="664"/>
    <w:uiPriority w:val="0"/>
    <w:qFormat/>
    <w:pPr>
      <w:ind w:firstLine="359"/>
      <w:jc w:val="left"/>
      <w:spacing w:before="156" w:line="360" w:lineRule="auto"/>
    </w:pPr>
    <w:rPr>
      <w:rFonts w:ascii="Arial" w:hAnsi="Arial" w:cs="宋体"/>
      <w:sz w:val="24"/>
      <w:szCs w:val="21"/>
    </w:rPr>
  </w:style>
  <w:style w:type="paragraph" w:styleId="1242" w:customStyle="1">
    <w:name w:val="章标题"/>
    <w:next w:val="1217"/>
    <w:uiPriority w:val="0"/>
    <w:qFormat/>
    <w:pPr>
      <w:jc w:val="both"/>
      <w:spacing w:before="156" w:after="156"/>
      <w:outlineLvl w:val="1"/>
    </w:pPr>
    <w:rPr>
      <w:rFonts w:ascii="Calibri" w:hAnsi="Calibri" w:eastAsia="黑体" w:cs="Times New Roman"/>
      <w:sz w:val="21"/>
      <w:lang w:val="en-US" w:eastAsia="zh-CN" w:bidi="ar-SA"/>
    </w:rPr>
  </w:style>
  <w:style w:type="paragraph" w:styleId="1243" w:customStyle="1">
    <w:name w:val="xl50"/>
    <w:basedOn w:val="6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244" w:customStyle="1">
    <w:name w:val="Char1"/>
    <w:basedOn w:val="664"/>
    <w:uiPriority w:val="0"/>
    <w:qFormat/>
    <w:pPr>
      <w:jc w:val="left"/>
      <w:spacing w:after="160" w:line="240" w:lineRule="exact"/>
      <w:widowControl/>
    </w:pPr>
    <w:rPr>
      <w:rFonts w:ascii="Verdana" w:hAnsi="Verdana" w:eastAsia="仿宋_GB2312"/>
      <w:sz w:val="24"/>
      <w:szCs w:val="20"/>
      <w:lang w:eastAsia="en-US"/>
    </w:rPr>
  </w:style>
  <w:style w:type="paragraph" w:styleId="1245" w:customStyle="1">
    <w:name w:val="正文--表格内正文"/>
    <w:basedOn w:val="664"/>
    <w:uiPriority w:val="0"/>
    <w:qFormat/>
    <w:pPr>
      <w:jc w:val="center"/>
      <w:spacing w:before="156" w:line="0" w:lineRule="atLeast"/>
    </w:pPr>
    <w:rPr>
      <w:rFonts w:ascii="宋体" w:hAnsi="宋体"/>
      <w:color w:val="000000"/>
      <w:sz w:val="24"/>
    </w:rPr>
  </w:style>
  <w:style w:type="paragraph" w:styleId="1246" w:customStyle="1">
    <w:name w:val="a"/>
    <w:basedOn w:val="664"/>
    <w:uiPriority w:val="0"/>
    <w:qFormat/>
    <w:pPr>
      <w:spacing w:before="100" w:beforeAutospacing="1" w:after="100" w:afterAutospacing="1"/>
      <w:widowControl/>
    </w:pPr>
    <w:rPr>
      <w:rFonts w:ascii="宋体" w:hAnsi="宋体" w:cs="宋体"/>
      <w:sz w:val="24"/>
    </w:rPr>
  </w:style>
  <w:style w:type="paragraph" w:styleId="1247" w:customStyle="1">
    <w:name w:val="符号与编号 Char Char"/>
    <w:basedOn w:val="664"/>
    <w:uiPriority w:val="0"/>
    <w:qFormat/>
    <w:pPr>
      <w:ind w:left="839" w:hanging="419"/>
      <w:spacing w:after="156" w:line="400" w:lineRule="atLeast"/>
      <w:tabs>
        <w:tab w:val="left" w:pos="840" w:leader="none"/>
      </w:tabs>
    </w:pPr>
    <w:rPr>
      <w:sz w:val="24"/>
    </w:rPr>
  </w:style>
  <w:style w:type="paragraph" w:styleId="1248" w:customStyle="1">
    <w:name w:val="Pa5"/>
    <w:basedOn w:val="664"/>
    <w:next w:val="664"/>
    <w:uiPriority w:val="0"/>
    <w:qFormat/>
    <w:pPr>
      <w:jc w:val="left"/>
      <w:spacing w:line="241" w:lineRule="atLeast"/>
    </w:pPr>
    <w:rPr>
      <w:rFonts w:ascii="HYDaHeiJ" w:eastAsia="HYDaHeiJ"/>
      <w:sz w:val="24"/>
    </w:rPr>
  </w:style>
  <w:style w:type="paragraph" w:styleId="1249" w:customStyle="1">
    <w:name w:val="xl36"/>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50" w:customStyle="1">
    <w:name w:val="正文4"/>
    <w:uiPriority w:val="99"/>
    <w:qFormat/>
    <w:rPr>
      <w:rFonts w:ascii="Calibri" w:hAnsi="Calibri" w:eastAsia="Times New Roman" w:cs="Times New Roman"/>
      <w:sz w:val="24"/>
      <w:szCs w:val="24"/>
      <w:lang w:val="en-US" w:eastAsia="zh-CN" w:bidi="ar-SA"/>
    </w:rPr>
  </w:style>
  <w:style w:type="paragraph" w:styleId="1251" w:customStyle="1">
    <w:name w:val="retrait3"/>
    <w:basedOn w:val="664"/>
    <w:uiPriority w:val="0"/>
    <w:qFormat/>
    <w:pPr>
      <w:ind w:left="851"/>
      <w:jc w:val="left"/>
      <w:spacing w:before="20" w:after="20"/>
      <w:widowControl/>
    </w:pPr>
    <w:rPr>
      <w:rFonts w:ascii="Arial" w:hAnsi="Arial"/>
      <w:sz w:val="24"/>
      <w:szCs w:val="20"/>
      <w:lang w:val="en-GB"/>
    </w:rPr>
  </w:style>
  <w:style w:type="paragraph" w:styleId="1252" w:customStyle="1">
    <w:name w:val="项目符号，二级"/>
    <w:basedOn w:val="1225"/>
    <w:next w:val="1225"/>
    <w:uiPriority w:val="0"/>
    <w:qFormat/>
    <w:pPr>
      <w:ind w:left="1337" w:right="-27" w:firstLine="480"/>
      <w:tabs>
        <w:tab w:val="left" w:pos="567" w:leader="none"/>
        <w:tab w:val="left" w:pos="907" w:leader="none"/>
        <w:tab w:val="left" w:pos="1211" w:leader="none"/>
        <w:tab w:val="left" w:pos="1337" w:leader="none"/>
      </w:tabs>
    </w:pPr>
    <w:rPr>
      <w:bCs w:val="0"/>
      <w:color w:val="000000"/>
      <w:sz w:val="24"/>
      <w:szCs w:val="24"/>
    </w:rPr>
  </w:style>
  <w:style w:type="paragraph" w:styleId="1253" w:customStyle="1">
    <w:name w:val="列出段落111"/>
    <w:basedOn w:val="664"/>
    <w:uiPriority w:val="99"/>
    <w:qFormat/>
    <w:pPr>
      <w:contextualSpacing/>
      <w:ind w:left="720"/>
      <w:jc w:val="left"/>
      <w:widowControl/>
    </w:pPr>
    <w:rPr>
      <w:rFonts w:ascii="Arial" w:hAnsi="Arial" w:eastAsia="黑体"/>
      <w:sz w:val="24"/>
      <w:szCs w:val="22"/>
      <w:lang w:eastAsia="en-US"/>
    </w:rPr>
  </w:style>
  <w:style w:type="paragraph" w:styleId="1254" w:customStyle="1">
    <w:name w:val="Char Char1 Char Char Char Char"/>
    <w:basedOn w:val="911"/>
    <w:uiPriority w:val="0"/>
    <w:qFormat/>
    <w:pPr>
      <w:ind w:left="357"/>
      <w:jc w:val="left"/>
      <w:spacing w:line="436" w:lineRule="exact"/>
      <w:outlineLvl w:val="3"/>
    </w:pPr>
    <w:rPr>
      <w:rFonts w:ascii="Tahoma" w:hAnsi="Tahoma" w:cs="Tahoma"/>
      <w:b/>
      <w:sz w:val="24"/>
      <w:lang w:eastAsia="zh-CN"/>
    </w:rPr>
  </w:style>
  <w:style w:type="paragraph" w:styleId="1255" w:customStyle="1">
    <w:name w:val="标题5，章节第五层"/>
    <w:basedOn w:val="664"/>
    <w:next w:val="664"/>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56" w:customStyle="1">
    <w:name w:val="xl68"/>
    <w:basedOn w:val="664"/>
    <w:uiPriority w:val="99"/>
    <w:qFormat/>
    <w:pPr>
      <w:jc w:val="center"/>
      <w:spacing w:before="100" w:beforeAutospacing="1" w:after="100" w:afterAutospacing="1"/>
      <w:widowControl/>
    </w:pPr>
    <w:rPr>
      <w:rFonts w:ascii="宋体" w:hAnsi="宋体"/>
      <w:sz w:val="24"/>
    </w:rPr>
  </w:style>
  <w:style w:type="paragraph" w:styleId="1257" w:customStyle="1">
    <w:name w:val="表格内容"/>
    <w:basedOn w:val="664"/>
    <w:uiPriority w:val="0"/>
    <w:qFormat/>
    <w:pPr>
      <w:jc w:val="center"/>
      <w:spacing w:before="60" w:line="300" w:lineRule="auto"/>
      <w:widowControl/>
    </w:pPr>
    <w:rPr>
      <w:szCs w:val="20"/>
    </w:rPr>
  </w:style>
  <w:style w:type="paragraph" w:styleId="1258"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259"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260" w:customStyle="1">
    <w:name w:val="Char Char Char"/>
    <w:basedOn w:val="664"/>
    <w:uiPriority w:val="0"/>
    <w:qFormat/>
    <w:rPr>
      <w:rFonts w:ascii="Tahoma" w:hAnsi="Tahoma"/>
      <w:sz w:val="24"/>
      <w:szCs w:val="20"/>
    </w:rPr>
  </w:style>
  <w:style w:type="paragraph" w:styleId="1261" w:customStyle="1">
    <w:name w:val="xl34"/>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character" w:styleId="1262" w:customStyle="1">
    <w:name w:val="明显引用 Char2"/>
    <w:uiPriority w:val="99"/>
    <w:qFormat/>
    <w:rPr>
      <w:b/>
      <w:bCs/>
      <w:i/>
      <w:iCs/>
      <w:color w:val="4f81bd"/>
      <w:sz w:val="21"/>
      <w:szCs w:val="24"/>
    </w:rPr>
  </w:style>
  <w:style w:type="paragraph" w:styleId="1263"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64" w:customStyle="1">
    <w:name w:val="Char6"/>
    <w:basedOn w:val="664"/>
    <w:uiPriority w:val="99"/>
    <w:qFormat/>
    <w:pPr>
      <w:jc w:val="left"/>
      <w:spacing w:after="160" w:line="240" w:lineRule="exact"/>
      <w:widowControl/>
    </w:pPr>
    <w:rPr>
      <w:rFonts w:ascii="Verdana" w:hAnsi="Verdana" w:eastAsia="仿宋_GB2312"/>
      <w:sz w:val="24"/>
      <w:szCs w:val="20"/>
      <w:lang w:eastAsia="en-US"/>
    </w:rPr>
  </w:style>
  <w:style w:type="paragraph" w:styleId="1265" w:customStyle="1">
    <w:name w:val="标题1，章节第一层"/>
    <w:basedOn w:val="1225"/>
    <w:next w:val="1225"/>
    <w:uiPriority w:val="0"/>
    <w:qFormat/>
    <w:pPr>
      <w:ind w:left="482"/>
      <w:spacing w:before="0"/>
      <w:tabs>
        <w:tab w:val="left" w:pos="693" w:leader="none"/>
      </w:tabs>
      <w:outlineLvl w:val="0"/>
    </w:pPr>
    <w:rPr>
      <w:color w:val="000000"/>
      <w:sz w:val="24"/>
      <w:szCs w:val="24"/>
    </w:rPr>
  </w:style>
  <w:style w:type="paragraph" w:styleId="1266" w:customStyle="1">
    <w:name w:val="Char Char1 Char Char Char Char1 Char Char Char Char Char Char"/>
    <w:basedOn w:val="664"/>
    <w:uiPriority w:val="0"/>
    <w:qFormat/>
    <w:rPr>
      <w:rFonts w:ascii="Tahoma" w:hAnsi="Tahoma"/>
      <w:sz w:val="24"/>
      <w:szCs w:val="20"/>
    </w:rPr>
  </w:style>
  <w:style w:type="paragraph" w:styleId="1267" w:customStyle="1">
    <w:name w:val="flNote"/>
    <w:basedOn w:val="664"/>
    <w:uiPriority w:val="0"/>
    <w:qFormat/>
    <w:pPr>
      <w:jc w:val="center"/>
      <w:spacing w:before="567" w:line="360" w:lineRule="atLeast"/>
    </w:pPr>
    <w:rPr>
      <w:rFonts w:eastAsia="黑体"/>
      <w:b/>
      <w:sz w:val="24"/>
      <w:szCs w:val="20"/>
    </w:rPr>
  </w:style>
  <w:style w:type="paragraph" w:styleId="1268" w:customStyle="1">
    <w:name w:val="标题 41"/>
    <w:basedOn w:val="1269"/>
    <w:next w:val="1269"/>
    <w:uiPriority w:val="99"/>
    <w:qFormat/>
    <w:pPr>
      <w:keepNext/>
      <w:spacing w:before="240" w:after="60"/>
      <w:outlineLvl w:val="3"/>
    </w:pPr>
    <w:rPr>
      <w:b/>
      <w:bCs/>
      <w:sz w:val="28"/>
      <w:szCs w:val="28"/>
    </w:rPr>
  </w:style>
  <w:style w:type="paragraph" w:styleId="1269" w:customStyle="1">
    <w:name w:val="Normal_1"/>
    <w:uiPriority w:val="99"/>
    <w:qFormat/>
    <w:rPr>
      <w:rFonts w:ascii="Calibri" w:hAnsi="Calibri" w:eastAsia="Times New Roman" w:cs="Times New Roman"/>
      <w:sz w:val="24"/>
      <w:szCs w:val="24"/>
      <w:lang w:val="en-US" w:eastAsia="zh-CN" w:bidi="ar-SA"/>
    </w:rPr>
  </w:style>
  <w:style w:type="paragraph" w:styleId="1270" w:customStyle="1">
    <w:name w:val="flType"/>
    <w:basedOn w:val="1271"/>
    <w:uiPriority w:val="0"/>
    <w:qFormat/>
    <w:pPr>
      <w:spacing w:after="284"/>
    </w:pPr>
    <w:rPr>
      <w:rFonts w:eastAsia="宋体"/>
    </w:rPr>
  </w:style>
  <w:style w:type="paragraph" w:styleId="1271" w:customStyle="1">
    <w:name w:val="flName"/>
    <w:basedOn w:val="1267"/>
    <w:uiPriority w:val="0"/>
    <w:qFormat/>
    <w:pPr>
      <w:spacing w:before="0" w:line="113" w:lineRule="atLeast"/>
    </w:pPr>
  </w:style>
  <w:style w:type="paragraph" w:styleId="1272" w:customStyle="1">
    <w:name w:val="Bullets L1"/>
    <w:basedOn w:val="664"/>
    <w:uiPriority w:val="0"/>
    <w:qFormat/>
    <w:pPr>
      <w:ind w:left="960" w:hanging="600"/>
      <w:jc w:val="left"/>
      <w:spacing w:before="60" w:after="60"/>
      <w:widowControl/>
      <w:tabs>
        <w:tab w:val="left" w:pos="360" w:leader="none"/>
        <w:tab w:val="left" w:pos="960" w:leader="none"/>
      </w:tabs>
    </w:pPr>
    <w:rPr>
      <w:rFonts w:ascii="Arial" w:hAnsi="Arial"/>
      <w:sz w:val="20"/>
      <w:szCs w:val="20"/>
    </w:rPr>
  </w:style>
  <w:style w:type="paragraph" w:styleId="1273" w:customStyle="1">
    <w:name w:val="xl71"/>
    <w:basedOn w:val="66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4" w:customStyle="1">
    <w:name w:val="a0"/>
    <w:basedOn w:val="664"/>
    <w:uiPriority w:val="0"/>
    <w:qFormat/>
    <w:pPr>
      <w:spacing w:before="100" w:beforeAutospacing="1" w:after="100" w:afterAutospacing="1"/>
      <w:widowControl/>
    </w:pPr>
    <w:rPr>
      <w:rFonts w:ascii="宋体" w:hAnsi="宋体" w:cs="宋体"/>
      <w:sz w:val="24"/>
    </w:rPr>
  </w:style>
  <w:style w:type="paragraph" w:styleId="1275" w:customStyle="1">
    <w:name w:val="xl64"/>
    <w:basedOn w:val="664"/>
    <w:uiPriority w:val="99"/>
    <w:qFormat/>
    <w:pPr>
      <w:jc w:val="center"/>
      <w:spacing w:before="100" w:beforeAutospacing="1" w:after="100" w:afterAutospacing="1"/>
      <w:widowControl/>
      <w:pBdr>
        <w:top w:val="single" w:color="000000" w:sz="4" w:space="0"/>
        <w:bottom w:val="single" w:color="000000" w:sz="4" w:space="0"/>
      </w:pBdr>
    </w:pPr>
    <w:rPr>
      <w:rFonts w:ascii="宋体" w:hAnsi="宋体" w:cs="宋体"/>
      <w:sz w:val="24"/>
    </w:rPr>
  </w:style>
  <w:style w:type="paragraph" w:styleId="1276" w:customStyle="1">
    <w:name w:val="条1"/>
    <w:basedOn w:val="664"/>
    <w:uiPriority w:val="0"/>
    <w:qFormat/>
    <w:pPr>
      <w:ind w:left="780" w:hanging="360"/>
      <w:spacing w:before="156" w:line="360" w:lineRule="auto"/>
      <w:tabs>
        <w:tab w:val="left" w:pos="780" w:leader="none"/>
      </w:tabs>
    </w:pPr>
    <w:rPr>
      <w:rFonts w:eastAsia="黑体"/>
      <w:sz w:val="24"/>
      <w:szCs w:val="20"/>
    </w:rPr>
  </w:style>
  <w:style w:type="paragraph" w:styleId="1277" w:customStyle="1">
    <w:name w:val="正文 首行缩进:  2 字符 Char Char"/>
    <w:basedOn w:val="664"/>
    <w:uiPriority w:val="0"/>
    <w:qFormat/>
    <w:pPr>
      <w:ind w:firstLine="480"/>
      <w:spacing w:line="360" w:lineRule="auto"/>
    </w:pPr>
    <w:rPr>
      <w:rFonts w:ascii="楷体_GB2312" w:eastAsia="楷体_GB2312"/>
      <w:bCs/>
      <w:sz w:val="24"/>
    </w:rPr>
  </w:style>
  <w:style w:type="paragraph" w:styleId="1278" w:customStyle="1">
    <w:name w:val="xl33"/>
    <w:basedOn w:val="6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79" w:customStyle="1">
    <w:name w:val="小四 段落 宋体 Char"/>
    <w:basedOn w:val="1181"/>
    <w:uiPriority w:val="0"/>
    <w:qFormat/>
    <w:pPr>
      <w:ind w:left="0" w:right="-33" w:firstLine="600"/>
      <w:jc w:val="left"/>
      <w:tabs>
        <w:tab w:val="clear" w:pos="2952" w:leader="none"/>
      </w:tabs>
    </w:pPr>
    <w:rPr>
      <w:rFonts w:ascii="仿宋_GB2312" w:eastAsia="仿宋_GB2312"/>
      <w:sz w:val="30"/>
      <w:szCs w:val="30"/>
    </w:rPr>
  </w:style>
  <w:style w:type="paragraph" w:styleId="1280" w:customStyle="1">
    <w:name w:val="xl61"/>
    <w:basedOn w:val="66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81" w:customStyle="1">
    <w:name w:val="正文lzq"/>
    <w:basedOn w:val="664"/>
    <w:uiPriority w:val="0"/>
    <w:qFormat/>
    <w:pPr>
      <w:ind w:firstLine="480"/>
      <w:spacing w:line="360" w:lineRule="auto"/>
    </w:pPr>
    <w:rPr>
      <w:sz w:val="24"/>
      <w:szCs w:val="20"/>
    </w:rPr>
  </w:style>
  <w:style w:type="paragraph" w:styleId="1282" w:customStyle="1">
    <w:name w:val="标准小四"/>
    <w:basedOn w:val="664"/>
    <w:uiPriority w:val="0"/>
    <w:qFormat/>
    <w:pPr>
      <w:ind w:firstLine="480"/>
      <w:spacing w:line="360" w:lineRule="auto"/>
    </w:pPr>
    <w:rPr>
      <w:rFonts w:ascii="Arial" w:hAnsi="Arial"/>
      <w:sz w:val="24"/>
      <w:szCs w:val="21"/>
    </w:rPr>
  </w:style>
  <w:style w:type="paragraph" w:styleId="1283" w:customStyle="1">
    <w:name w:val="标题2，章节第二层"/>
    <w:basedOn w:val="664"/>
    <w:next w:val="1225"/>
    <w:uiPriority w:val="0"/>
    <w:qFormat/>
    <w:p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rPr>
  </w:style>
  <w:style w:type="paragraph" w:styleId="1284" w:customStyle="1">
    <w:name w:val="默认段落字体 Para Char"/>
    <w:basedOn w:val="664"/>
    <w:uiPriority w:val="0"/>
    <w:qFormat/>
    <w:rPr>
      <w:sz w:val="24"/>
    </w:rPr>
  </w:style>
  <w:style w:type="paragraph" w:styleId="1285" w:customStyle="1">
    <w:name w:val="样式 标题 1 + 黑体 三号 非加粗 居中 段前: 6 磅 段后: 6 磅 行距: 固定值 20 磅"/>
    <w:basedOn w:val="845"/>
    <w:uiPriority w:val="0"/>
    <w:qFormat/>
    <w:pPr>
      <w:jc w:val="center"/>
      <w:keepLines/>
      <w:spacing w:before="120" w:after="120" w:line="400" w:lineRule="exact"/>
    </w:pPr>
    <w:rPr>
      <w:rFonts w:ascii="黑体" w:hAnsi="黑体" w:eastAsia="黑体"/>
      <w:sz w:val="32"/>
    </w:rPr>
  </w:style>
  <w:style w:type="paragraph" w:styleId="1286" w:customStyle="1">
    <w:name w:val="列表段落1"/>
    <w:basedOn w:val="664"/>
    <w:uiPriority w:val="0"/>
    <w:qFormat/>
    <w:pPr>
      <w:contextualSpacing/>
      <w:ind w:left="720"/>
      <w:jc w:val="left"/>
      <w:widowControl/>
    </w:pPr>
    <w:rPr>
      <w:rFonts w:ascii="Arial" w:hAnsi="Arial" w:eastAsia="黑体"/>
      <w:sz w:val="24"/>
      <w:lang w:eastAsia="en-US"/>
    </w:rPr>
  </w:style>
  <w:style w:type="paragraph" w:styleId="1287" w:customStyle="1">
    <w:name w:val="content_lineheight"/>
    <w:basedOn w:val="664"/>
    <w:uiPriority w:val="0"/>
    <w:qFormat/>
    <w:pPr>
      <w:jc w:val="left"/>
      <w:spacing w:before="100" w:beforeAutospacing="1" w:after="100" w:afterAutospacing="1"/>
      <w:widowControl/>
    </w:pPr>
    <w:rPr>
      <w:rFonts w:ascii="宋体" w:hAnsi="宋体"/>
      <w:sz w:val="24"/>
    </w:rPr>
  </w:style>
  <w:style w:type="paragraph" w:styleId="1288" w:customStyle="1">
    <w:name w:val="小四 段落 宋体 Char Char Char Char"/>
    <w:basedOn w:val="664"/>
    <w:uiPriority w:val="0"/>
    <w:qFormat/>
    <w:pPr>
      <w:ind w:right="-33" w:firstLine="480"/>
      <w:jc w:val="left"/>
      <w:spacing w:line="360" w:lineRule="auto"/>
    </w:pPr>
    <w:rPr>
      <w:sz w:val="24"/>
    </w:rPr>
  </w:style>
  <w:style w:type="paragraph" w:styleId="1289" w:customStyle="1">
    <w:name w:val="标题 4宋体"/>
    <w:basedOn w:val="849"/>
    <w:uiPriority w:val="0"/>
    <w:qFormat/>
    <w:pPr>
      <w:jc w:val="left"/>
      <w:keepLines w:val="0"/>
      <w:spacing w:before="0" w:after="0" w:line="360" w:lineRule="auto"/>
    </w:pPr>
    <w:rPr>
      <w:rFonts w:ascii="宋体" w:hAnsi="宋体" w:eastAsia="宋体"/>
      <w:color w:val="000000"/>
      <w:sz w:val="24"/>
      <w:szCs w:val="20"/>
      <w:lang w:eastAsia="zh-CN"/>
    </w:rPr>
  </w:style>
  <w:style w:type="paragraph" w:styleId="1290" w:customStyle="1">
    <w:name w:val="xl43"/>
    <w:basedOn w:val="6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291" w:customStyle="1">
    <w:name w:val="正文 首行缩进:  2 字符 Char"/>
    <w:basedOn w:val="664"/>
    <w:uiPriority w:val="0"/>
    <w:qFormat/>
    <w:pPr>
      <w:ind w:firstLine="480"/>
      <w:spacing w:line="360" w:lineRule="auto"/>
    </w:pPr>
    <w:rPr>
      <w:rFonts w:cs="宋体"/>
      <w:sz w:val="24"/>
      <w:szCs w:val="20"/>
    </w:rPr>
  </w:style>
  <w:style w:type="paragraph" w:styleId="1292" w:customStyle="1">
    <w:name w:val="标题 22"/>
    <w:basedOn w:val="1293"/>
    <w:next w:val="1293"/>
    <w:uiPriority w:val="99"/>
    <w:qFormat/>
    <w:pPr>
      <w:keepNext/>
      <w:spacing w:before="240" w:after="60"/>
      <w:outlineLvl w:val="1"/>
    </w:pPr>
    <w:rPr>
      <w:rFonts w:ascii="Arial" w:hAnsi="Arial"/>
      <w:b/>
      <w:bCs/>
      <w:i/>
      <w:iCs/>
      <w:sz w:val="28"/>
      <w:szCs w:val="28"/>
    </w:rPr>
  </w:style>
  <w:style w:type="paragraph" w:styleId="1293" w:customStyle="1">
    <w:name w:val="Normal_3"/>
    <w:uiPriority w:val="99"/>
    <w:qFormat/>
    <w:rPr>
      <w:rFonts w:ascii="Calibri" w:hAnsi="Calibri" w:eastAsia="Times New Roman" w:cs="Times New Roman"/>
      <w:sz w:val="24"/>
      <w:szCs w:val="24"/>
      <w:lang w:val="en-US" w:eastAsia="zh-CN" w:bidi="ar-SA"/>
    </w:rPr>
  </w:style>
  <w:style w:type="paragraph" w:styleId="1294" w:customStyle="1">
    <w:name w:val="我的正文"/>
    <w:basedOn w:val="664"/>
    <w:uiPriority w:val="0"/>
    <w:qFormat/>
    <w:pPr>
      <w:ind w:firstLine="420"/>
      <w:jc w:val="left"/>
      <w:spacing w:line="360" w:lineRule="auto"/>
      <w:widowControl/>
    </w:pPr>
    <w:rPr>
      <w:rFonts w:ascii="宋体" w:hAnsi="宋体" w:cs="宋体"/>
      <w:szCs w:val="21"/>
    </w:rPr>
  </w:style>
  <w:style w:type="paragraph" w:styleId="1295" w:customStyle="1">
    <w:name w:val="xl58"/>
    <w:basedOn w:val="664"/>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96" w:customStyle="1">
    <w:name w:val="Item Step in Table"/>
    <w:uiPriority w:val="0"/>
    <w:qFormat/>
    <w:pPr>
      <w:ind w:left="720" w:hanging="720"/>
      <w:jc w:val="both"/>
      <w:spacing w:before="40" w:after="40"/>
      <w:tabs>
        <w:tab w:val="left" w:pos="397" w:leader="none"/>
      </w:tabs>
    </w:pPr>
    <w:rPr>
      <w:rFonts w:ascii="Arial" w:hAnsi="Arial" w:eastAsia="宋体" w:cs="Arial"/>
      <w:sz w:val="18"/>
      <w:szCs w:val="18"/>
      <w:lang w:val="en-US" w:eastAsia="zh-CN" w:bidi="ar-SA"/>
    </w:rPr>
  </w:style>
  <w:style w:type="paragraph" w:styleId="1297" w:customStyle="1">
    <w:name w:val="表格文字"/>
    <w:basedOn w:val="664"/>
    <w:uiPriority w:val="0"/>
    <w:qFormat/>
    <w:pPr>
      <w:ind w:firstLine="200"/>
      <w:jc w:val="left"/>
      <w:spacing w:line="360" w:lineRule="auto"/>
    </w:pPr>
    <w:rPr>
      <w:rFonts w:ascii="Arial" w:hAnsi="Arial"/>
      <w:sz w:val="24"/>
      <w:szCs w:val="20"/>
    </w:rPr>
  </w:style>
  <w:style w:type="paragraph" w:styleId="1298" w:customStyle="1">
    <w:name w:val="样式 段后: 0.5 行 左  0.75 字符"/>
    <w:basedOn w:val="664"/>
    <w:uiPriority w:val="0"/>
    <w:qFormat/>
    <w:pPr>
      <w:ind w:firstLine="420"/>
      <w:spacing w:line="360" w:lineRule="auto"/>
      <w:widowControl/>
    </w:pPr>
    <w:rPr>
      <w:rFonts w:hAnsi="Arial" w:cs="Arial"/>
      <w:szCs w:val="21"/>
    </w:rPr>
  </w:style>
  <w:style w:type="paragraph" w:styleId="1299" w:customStyle="1">
    <w:name w:val="中等深浅网格 1 - 强调文字颜色 21"/>
    <w:basedOn w:val="664"/>
    <w:uiPriority w:val="0"/>
    <w:qFormat/>
    <w:pPr>
      <w:ind w:firstLine="420"/>
    </w:pPr>
    <w:rPr>
      <w:szCs w:val="22"/>
    </w:rPr>
  </w:style>
  <w:style w:type="paragraph" w:styleId="1300" w:customStyle="1">
    <w:name w:val="项目符号，一级"/>
    <w:basedOn w:val="1225"/>
    <w:next w:val="1225"/>
    <w:uiPriority w:val="0"/>
    <w:qFormat/>
    <w:pPr>
      <w:ind w:left="376" w:firstLine="0"/>
      <w:spacing w:line="240" w:lineRule="atLeast"/>
      <w:tabs>
        <w:tab w:val="left" w:pos="1320" w:leader="none"/>
      </w:tabs>
    </w:pPr>
    <w:rPr>
      <w:bCs w:val="0"/>
      <w:color w:val="000000"/>
      <w:szCs w:val="24"/>
    </w:rPr>
  </w:style>
  <w:style w:type="paragraph" w:styleId="1301" w:customStyle="1">
    <w:name w:val="丁华标题2"/>
    <w:basedOn w:val="846"/>
    <w:next w:val="1186"/>
    <w:uiPriority w:val="0"/>
    <w:qFormat/>
    <w:pPr>
      <w:ind w:left="907" w:hanging="907"/>
      <w:jc w:val="left"/>
      <w:spacing w:before="120" w:after="120" w:line="415" w:lineRule="auto"/>
      <w:tabs>
        <w:tab w:val="left" w:pos="907" w:leader="none"/>
        <w:tab w:val="left" w:pos="1004" w:leader="none"/>
      </w:tabs>
    </w:pPr>
    <w:rPr>
      <w:rFonts w:eastAsia="黑体"/>
      <w:b w:val="0"/>
      <w:sz w:val="28"/>
      <w:lang w:eastAsia="zh-CN"/>
    </w:rPr>
  </w:style>
  <w:style w:type="paragraph" w:styleId="1302" w:customStyle="1">
    <w:name w:val="font9"/>
    <w:basedOn w:val="664"/>
    <w:uiPriority w:val="0"/>
    <w:qFormat/>
    <w:pPr>
      <w:jc w:val="left"/>
      <w:spacing w:before="100" w:beforeAutospacing="1" w:after="100" w:afterAutospacing="1"/>
      <w:widowControl/>
    </w:pPr>
    <w:rPr>
      <w:b/>
      <w:bCs/>
      <w:sz w:val="20"/>
      <w:szCs w:val="20"/>
    </w:rPr>
  </w:style>
  <w:style w:type="paragraph" w:styleId="1303" w:customStyle="1">
    <w:name w:val="tableau"/>
    <w:basedOn w:val="664"/>
    <w:uiPriority w:val="0"/>
    <w:qFormat/>
    <w:pPr>
      <w:jc w:val="center"/>
      <w:spacing w:before="20" w:after="20"/>
      <w:widowControl/>
    </w:pPr>
    <w:rPr>
      <w:rFonts w:ascii="Arial" w:hAnsi="Arial"/>
      <w:sz w:val="16"/>
      <w:szCs w:val="20"/>
      <w:lang w:val="en-GB" w:eastAsia="en-US"/>
    </w:rPr>
  </w:style>
  <w:style w:type="paragraph" w:styleId="1304" w:customStyle="1">
    <w:name w:val="正文表标题"/>
    <w:next w:val="1217"/>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305" w:customStyle="1">
    <w:name w:val="正文 + 宋体"/>
    <w:basedOn w:val="664"/>
    <w:uiPriority w:val="0"/>
    <w:qFormat/>
    <w:pPr>
      <w:ind w:firstLine="420"/>
      <w:spacing w:line="360" w:lineRule="auto"/>
    </w:pPr>
  </w:style>
  <w:style w:type="paragraph" w:styleId="1306" w:customStyle="1">
    <w:name w:val="小四 段落 宋体"/>
    <w:basedOn w:val="1181"/>
    <w:uiPriority w:val="0"/>
    <w:qFormat/>
    <w:pPr>
      <w:ind w:left="113" w:right="113" w:firstLine="425"/>
      <w:jc w:val="left"/>
      <w:spacing w:line="360" w:lineRule="auto"/>
      <w:tabs>
        <w:tab w:val="clear" w:pos="2952" w:leader="none"/>
      </w:tabs>
    </w:pPr>
    <w:rPr>
      <w:sz w:val="24"/>
    </w:rPr>
  </w:style>
  <w:style w:type="paragraph" w:styleId="1307" w:customStyle="1">
    <w:name w:val="样式 标题 2 + Times New Roman 四号 非加粗 段前: 5 磅 段后: 0 磅 行距: 固定值 20..."/>
    <w:basedOn w:val="846"/>
    <w:uiPriority w:val="0"/>
    <w:qFormat/>
    <w:pPr>
      <w:jc w:val="both"/>
      <w:spacing w:before="100" w:after="0" w:line="400" w:lineRule="exact"/>
    </w:pPr>
    <w:rPr>
      <w:rFonts w:ascii="Times New Roman" w:hAnsi="Times New Roman" w:eastAsia="黑体"/>
      <w:b w:val="0"/>
      <w:sz w:val="28"/>
      <w:lang w:eastAsia="zh-CN"/>
    </w:rPr>
  </w:style>
  <w:style w:type="paragraph" w:styleId="1308" w:customStyle="1">
    <w:name w:val="标题3，章节第三层"/>
    <w:basedOn w:val="664"/>
    <w:next w:val="1225"/>
    <w:uiPriority w:val="0"/>
    <w:qFormat/>
    <w:pPr>
      <w:spacing w:before="78" w:line="300" w:lineRule="auto"/>
      <w:outlineLvl w:val="2"/>
    </w:pPr>
    <w:rPr>
      <w:rFonts w:ascii="Arial" w:hAnsi="Arial" w:eastAsia="华文细黑"/>
      <w:sz w:val="30"/>
    </w:rPr>
  </w:style>
  <w:style w:type="paragraph" w:styleId="1309" w:customStyle="1">
    <w:name w:val="_Style 42"/>
    <w:basedOn w:val="664"/>
    <w:next w:val="900"/>
    <w:uiPriority w:val="0"/>
    <w:qFormat/>
    <w:rPr>
      <w:rFonts w:ascii="楷体_GB2312" w:hAnsi="Arial" w:eastAsia="楷体_GB2312"/>
      <w:sz w:val="28"/>
      <w:szCs w:val="20"/>
    </w:rPr>
  </w:style>
  <w:style w:type="paragraph" w:styleId="1310" w:customStyle="1">
    <w:name w:val="样式 段后: 0.25 行"/>
    <w:basedOn w:val="664"/>
    <w:uiPriority w:val="0"/>
    <w:qFormat/>
    <w:pPr>
      <w:ind w:firstLine="420"/>
      <w:jc w:val="left"/>
      <w:spacing w:after="78" w:line="300" w:lineRule="auto"/>
      <w:widowControl/>
    </w:pPr>
    <w:rPr>
      <w:rFonts w:ascii="Arial" w:hAnsi="Arial" w:cs="宋体"/>
      <w:sz w:val="22"/>
      <w:szCs w:val="20"/>
      <w:lang w:eastAsia="en-US" w:bidi="en-US"/>
    </w:rPr>
  </w:style>
  <w:style w:type="paragraph" w:styleId="1311" w:customStyle="1">
    <w:name w:val="TOC 标题11"/>
    <w:basedOn w:val="845"/>
    <w:next w:val="664"/>
    <w:uiPriority w:val="39"/>
    <w:qFormat/>
    <w:pPr>
      <w:jc w:val="left"/>
      <w:keepLines/>
      <w:spacing w:before="480" w:line="276" w:lineRule="auto"/>
      <w:widowControl/>
      <w:outlineLvl w:val="9"/>
    </w:pPr>
    <w:rPr>
      <w:rFonts w:ascii="Cambria" w:hAnsi="Cambria" w:eastAsia="宋体"/>
      <w:b/>
      <w:bCs/>
      <w:color w:val="365f91"/>
      <w:szCs w:val="28"/>
    </w:rPr>
  </w:style>
  <w:style w:type="paragraph" w:styleId="1312" w:customStyle="1">
    <w:name w:val="xl82"/>
    <w:basedOn w:val="664"/>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3" w:customStyle="1">
    <w:name w:val="xl46"/>
    <w:basedOn w:val="664"/>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314" w:customStyle="1">
    <w:name w:val="正文缩进2字符"/>
    <w:basedOn w:val="664"/>
    <w:uiPriority w:val="0"/>
    <w:qFormat/>
    <w:pPr>
      <w:ind w:firstLine="200"/>
      <w:spacing w:line="300" w:lineRule="auto"/>
    </w:pPr>
    <w:rPr>
      <w:rFonts w:ascii="仿宋_GB2312" w:eastAsia="仿宋_GB2312"/>
      <w:sz w:val="32"/>
      <w:szCs w:val="32"/>
    </w:rPr>
  </w:style>
  <w:style w:type="paragraph" w:styleId="1315" w:customStyle="1">
    <w:name w:val="样式3"/>
    <w:basedOn w:val="664"/>
    <w:next w:val="664"/>
    <w:uiPriority w:val="0"/>
    <w:qFormat/>
    <w:pPr>
      <w:spacing w:line="360" w:lineRule="auto"/>
    </w:pPr>
    <w:rPr>
      <w:szCs w:val="20"/>
    </w:rPr>
  </w:style>
  <w:style w:type="paragraph" w:styleId="1316" w:customStyle="1">
    <w:name w:val="标准文本"/>
    <w:basedOn w:val="664"/>
    <w:uiPriority w:val="0"/>
    <w:qFormat/>
    <w:pPr>
      <w:ind w:firstLine="480"/>
      <w:spacing w:line="360" w:lineRule="auto"/>
    </w:pPr>
    <w:rPr>
      <w:rFonts w:cs="宋体"/>
      <w:sz w:val="24"/>
    </w:rPr>
  </w:style>
  <w:style w:type="paragraph" w:styleId="1317" w:customStyle="1">
    <w:name w:val="xl42"/>
    <w:basedOn w:val="6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18" w:customStyle="1">
    <w:name w:val="表格内文字"/>
    <w:basedOn w:val="664"/>
    <w:uiPriority w:val="0"/>
    <w:qFormat/>
    <w:pPr>
      <w:spacing w:line="300" w:lineRule="atLeast"/>
    </w:pPr>
    <w:rPr>
      <w:sz w:val="18"/>
    </w:rPr>
  </w:style>
  <w:style w:type="paragraph" w:styleId="1319" w:customStyle="1">
    <w:name w:val="xl54"/>
    <w:basedOn w:val="66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20" w:customStyle="1">
    <w:name w:val="标题 31"/>
    <w:basedOn w:val="1293"/>
    <w:next w:val="1293"/>
    <w:uiPriority w:val="99"/>
    <w:qFormat/>
    <w:pPr>
      <w:keepNext/>
      <w:spacing w:before="240" w:after="60"/>
      <w:outlineLvl w:val="2"/>
    </w:pPr>
    <w:rPr>
      <w:rFonts w:ascii="Arial" w:hAnsi="Arial"/>
      <w:b/>
      <w:bCs/>
      <w:sz w:val="26"/>
      <w:szCs w:val="26"/>
    </w:rPr>
  </w:style>
  <w:style w:type="paragraph" w:styleId="1321" w:customStyle="1">
    <w:name w:val="段 Char"/>
    <w:uiPriority w:val="0"/>
    <w:qFormat/>
    <w:pPr>
      <w:ind w:firstLine="200"/>
      <w:jc w:val="both"/>
    </w:pPr>
    <w:rPr>
      <w:rFonts w:ascii="宋体" w:hAnsi="Calibri" w:eastAsia="宋体" w:cs="Times New Roman"/>
      <w:sz w:val="21"/>
      <w:lang w:val="en-US" w:eastAsia="zh-CN" w:bidi="ar-SA"/>
    </w:rPr>
  </w:style>
  <w:style w:type="paragraph" w:styleId="1322" w:customStyle="1">
    <w:name w:val="Default Text"/>
    <w:basedOn w:val="664"/>
    <w:uiPriority w:val="0"/>
    <w:qFormat/>
    <w:pPr>
      <w:jc w:val="left"/>
      <w:widowControl/>
    </w:pPr>
    <w:rPr>
      <w:sz w:val="24"/>
      <w:szCs w:val="20"/>
      <w:lang w:eastAsia="en-US"/>
    </w:rPr>
  </w:style>
  <w:style w:type="paragraph" w:styleId="1323" w:customStyle="1">
    <w:name w:val="xl52"/>
    <w:basedOn w:val="66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324" w:customStyle="1">
    <w:name w:val="Pa6"/>
    <w:basedOn w:val="664"/>
    <w:next w:val="664"/>
    <w:uiPriority w:val="0"/>
    <w:qFormat/>
    <w:pPr>
      <w:jc w:val="left"/>
      <w:spacing w:line="241" w:lineRule="atLeast"/>
    </w:pPr>
    <w:rPr>
      <w:rFonts w:ascii="HYDaHeiJ" w:eastAsia="HYDaHeiJ"/>
      <w:sz w:val="24"/>
    </w:rPr>
  </w:style>
  <w:style w:type="paragraph" w:styleId="1325" w:customStyle="1">
    <w:name w:val="6'"/>
    <w:basedOn w:val="664"/>
    <w:uiPriority w:val="0"/>
    <w:qFormat/>
    <w:pPr>
      <w:jc w:val="center"/>
      <w:spacing w:line="320" w:lineRule="exact"/>
    </w:pPr>
    <w:rPr>
      <w:spacing w:val="20"/>
      <w:szCs w:val="20"/>
    </w:rPr>
  </w:style>
  <w:style w:type="paragraph" w:styleId="1326" w:customStyle="1">
    <w:name w:val="xl39"/>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7" w:customStyle="1">
    <w:name w:val="部分1"/>
    <w:basedOn w:val="664"/>
    <w:uiPriority w:val="0"/>
    <w:qFormat/>
    <w:pPr>
      <w:jc w:val="center"/>
      <w:keepNext/>
      <w:pageBreakBefore/>
      <w:spacing w:line="360" w:lineRule="auto"/>
      <w:tabs>
        <w:tab w:val="left" w:pos="360" w:leader="none"/>
      </w:tabs>
      <w:outlineLvl w:val="0"/>
    </w:pPr>
    <w:rPr>
      <w:rFonts w:eastAsia="黑体"/>
      <w:b/>
      <w:sz w:val="36"/>
      <w:szCs w:val="20"/>
    </w:rPr>
  </w:style>
  <w:style w:type="paragraph" w:styleId="1328" w:customStyle="1">
    <w:name w:val="样式 标题 3 + (中文) 黑体 小四 非加粗 段前: 7.8 磅 段后: 0 磅 行距: 固定值 20 磅"/>
    <w:basedOn w:val="848"/>
    <w:uiPriority w:val="0"/>
    <w:qFormat/>
    <w:pPr>
      <w:spacing w:before="0" w:after="0" w:line="400" w:lineRule="exact"/>
    </w:pPr>
    <w:rPr>
      <w:rFonts w:ascii="Times New Roman" w:hAnsi="Times New Roman" w:eastAsia="黑体"/>
      <w:b w:val="0"/>
      <w:sz w:val="24"/>
      <w:lang w:eastAsia="zh-CN"/>
    </w:rPr>
  </w:style>
  <w:style w:type="character" w:styleId="1329" w:customStyle="1">
    <w:name w:val="引用 Char2"/>
    <w:uiPriority w:val="99"/>
    <w:qFormat/>
    <w:rPr>
      <w:i/>
      <w:iCs/>
      <w:color w:val="000000"/>
      <w:sz w:val="21"/>
      <w:szCs w:val="24"/>
    </w:rPr>
  </w:style>
  <w:style w:type="paragraph" w:styleId="1330" w:customStyle="1">
    <w:name w:val="纯文本1"/>
    <w:basedOn w:val="664"/>
    <w:uiPriority w:val="99"/>
    <w:qFormat/>
    <w:rPr>
      <w:rFonts w:ascii="宋体" w:hAnsi="宋体" w:eastAsia="楷体_GB2312" w:cs="宋体"/>
      <w:sz w:val="28"/>
      <w:szCs w:val="20"/>
    </w:rPr>
  </w:style>
  <w:style w:type="paragraph" w:styleId="1331" w:customStyle="1">
    <w:name w:val="样式 样式 首行缩进:  0.74 厘米 行距: 1.5 倍行距 + 段后: 0.5 行"/>
    <w:basedOn w:val="664"/>
    <w:uiPriority w:val="0"/>
    <w:qFormat/>
    <w:pPr>
      <w:ind w:firstLine="420"/>
      <w:spacing w:line="360" w:lineRule="auto"/>
    </w:pPr>
    <w:rPr>
      <w:rFonts w:ascii="楷体_GB2312" w:eastAsia="楷体_GB2312"/>
      <w:bCs/>
      <w:sz w:val="24"/>
      <w:szCs w:val="20"/>
    </w:rPr>
  </w:style>
  <w:style w:type="paragraph" w:styleId="1332" w:customStyle="1">
    <w:name w:val="Heading 4_0"/>
    <w:basedOn w:val="1293"/>
    <w:next w:val="1293"/>
    <w:uiPriority w:val="99"/>
    <w:qFormat/>
    <w:pPr>
      <w:keepNext/>
      <w:spacing w:before="240" w:after="60"/>
      <w:outlineLvl w:val="3"/>
    </w:pPr>
    <w:rPr>
      <w:b/>
      <w:bCs/>
      <w:sz w:val="28"/>
      <w:szCs w:val="28"/>
    </w:rPr>
  </w:style>
  <w:style w:type="paragraph" w:styleId="1333" w:customStyle="1">
    <w:name w:val="xl45"/>
    <w:basedOn w:val="664"/>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334" w:customStyle="1">
    <w:name w:val="xl73"/>
    <w:basedOn w:val="664"/>
    <w:uiPriority w:val="99"/>
    <w:qFormat/>
    <w:pPr>
      <w:jc w:val="center"/>
      <w:spacing w:before="100" w:beforeAutospacing="1" w:after="100" w:afterAutospacing="1"/>
      <w:shd w:val="clear" w:color="auto" w:fill="ffffff"/>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335" w:customStyle="1">
    <w:name w:val="xl44"/>
    <w:basedOn w:val="66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336" w:customStyle="1">
    <w:name w:val="正文3"/>
    <w:uiPriority w:val="99"/>
    <w:qFormat/>
    <w:rPr>
      <w:rFonts w:ascii="Calibri" w:hAnsi="Calibri" w:eastAsia="Times New Roman" w:cs="Times New Roman"/>
      <w:sz w:val="24"/>
      <w:szCs w:val="24"/>
      <w:lang w:val="en-US" w:eastAsia="zh-CN" w:bidi="ar-SA"/>
    </w:rPr>
  </w:style>
  <w:style w:type="paragraph" w:styleId="1337" w:customStyle="1">
    <w:name w:val="xl57"/>
    <w:basedOn w:val="66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338" w:customStyle="1">
    <w:name w:val="样式 标题 2第一章 标题 2Heading 2 HiddenHeading 2 CCBSheading 2H2h2..."/>
    <w:basedOn w:val="846"/>
    <w:uiPriority w:val="0"/>
    <w:qFormat/>
    <w:pPr>
      <w:ind w:left="360" w:hanging="360"/>
      <w:keepLines w:val="0"/>
      <w:spacing w:before="156" w:after="156" w:line="240" w:lineRule="auto"/>
      <w:tabs>
        <w:tab w:val="left" w:pos="360" w:leader="none"/>
      </w:tabs>
    </w:pPr>
    <w:rPr>
      <w:rFonts w:ascii="黑体" w:hAnsi="Times New Roman" w:eastAsia="黑体" w:cs="宋体"/>
      <w:b w:val="0"/>
      <w:sz w:val="32"/>
      <w:lang w:eastAsia="zh-CN"/>
    </w:rPr>
  </w:style>
  <w:style w:type="paragraph" w:styleId="1339" w:customStyle="1">
    <w:name w:val="默认段落字体 Para Char Char Char Char Char Char Char"/>
    <w:basedOn w:val="664"/>
    <w:uiPriority w:val="0"/>
    <w:qFormat/>
    <w:rPr>
      <w:szCs w:val="20"/>
    </w:rPr>
  </w:style>
  <w:style w:type="paragraph" w:styleId="1340" w:customStyle="1">
    <w:name w:val="表格1"/>
    <w:basedOn w:val="664"/>
    <w:uiPriority w:val="0"/>
    <w:qFormat/>
    <w:rPr>
      <w:rFonts w:ascii="宋体"/>
      <w:szCs w:val="21"/>
    </w:rPr>
  </w:style>
  <w:style w:type="paragraph" w:styleId="1341" w:customStyle="1">
    <w:name w:val="font12"/>
    <w:basedOn w:val="664"/>
    <w:uiPriority w:val="0"/>
    <w:qFormat/>
    <w:pPr>
      <w:jc w:val="left"/>
      <w:spacing w:before="100" w:beforeAutospacing="1" w:after="100" w:afterAutospacing="1"/>
      <w:widowControl/>
    </w:pPr>
    <w:rPr>
      <w:rFonts w:ascii="宋体" w:hAnsi="宋体" w:cs="宋体"/>
      <w:sz w:val="36"/>
      <w:szCs w:val="36"/>
    </w:rPr>
  </w:style>
  <w:style w:type="paragraph" w:styleId="1342" w:customStyle="1">
    <w:name w:val="xl75"/>
    <w:basedOn w:val="664"/>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43" w:customStyle="1">
    <w:name w:val="xl48"/>
    <w:basedOn w:val="66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344" w:customStyle="1">
    <w:name w:val="zw"/>
    <w:basedOn w:val="664"/>
    <w:uiPriority w:val="0"/>
    <w:qFormat/>
    <w:pPr>
      <w:ind w:firstLine="480"/>
      <w:jc w:val="left"/>
      <w:spacing w:line="360" w:lineRule="auto"/>
      <w:widowControl/>
    </w:pPr>
    <w:rPr>
      <w:rFonts w:ascii="宋体" w:hAnsi="宋体"/>
      <w:bCs/>
      <w:sz w:val="24"/>
      <w:szCs w:val="20"/>
    </w:rPr>
  </w:style>
  <w:style w:type="paragraph" w:styleId="1345" w:customStyle="1">
    <w:name w:val="Normal1"/>
    <w:basedOn w:val="664"/>
    <w:uiPriority w:val="0"/>
    <w:qFormat/>
    <w:rPr>
      <w:rFonts w:eastAsia="Calibri" w:cs="宋体"/>
      <w:szCs w:val="20"/>
      <w:lang w:val="zh-CN"/>
    </w:rPr>
  </w:style>
  <w:style w:type="paragraph" w:styleId="1346" w:customStyle="1">
    <w:name w:val="论文正文"/>
    <w:basedOn w:val="913"/>
    <w:uiPriority w:val="0"/>
    <w:qFormat/>
    <w:pPr>
      <w:ind w:firstLine="200"/>
      <w:jc w:val="left"/>
      <w:spacing w:line="360" w:lineRule="auto"/>
    </w:pPr>
    <w:rPr>
      <w:rFonts w:ascii="Times New Roman" w:hAnsi="Times New Roman" w:eastAsia="仿宋_GB2312"/>
      <w:lang w:eastAsia="zh-CN"/>
    </w:rPr>
  </w:style>
  <w:style w:type="paragraph" w:styleId="1347" w:customStyle="1">
    <w:name w:val="表格"/>
    <w:basedOn w:val="664"/>
    <w:uiPriority w:val="0"/>
    <w:qFormat/>
    <w:pPr>
      <w:ind w:firstLine="21"/>
    </w:pPr>
    <w:rPr>
      <w:rFonts w:ascii="宋体" w:hAnsi="宋体" w:cs="宋体"/>
      <w:sz w:val="20"/>
      <w:szCs w:val="20"/>
    </w:rPr>
  </w:style>
  <w:style w:type="paragraph" w:styleId="1348" w:customStyle="1">
    <w:name w:val="无间隔11"/>
    <w:uiPriority w:val="0"/>
    <w:qFormat/>
    <w:pPr>
      <w:jc w:val="both"/>
      <w:widowControl w:val="off"/>
    </w:pPr>
    <w:rPr>
      <w:rFonts w:ascii="Calibri" w:hAnsi="Calibri" w:eastAsia="宋体" w:cs="Calibri"/>
      <w:sz w:val="21"/>
      <w:szCs w:val="22"/>
      <w:lang w:val="en-US" w:eastAsia="zh-CN" w:bidi="ar-SA"/>
    </w:rPr>
  </w:style>
  <w:style w:type="paragraph" w:styleId="1349" w:customStyle="1">
    <w:name w:val="xl60"/>
    <w:basedOn w:val="66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50" w:customStyle="1">
    <w:name w:val="xl77"/>
    <w:basedOn w:val="66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51" w:customStyle="1">
    <w:name w:val="_Style 8"/>
    <w:basedOn w:val="664"/>
    <w:next w:val="664"/>
    <w:uiPriority w:val="99"/>
    <w:qFormat/>
    <w:pPr>
      <w:jc w:val="center"/>
      <w:widowControl/>
      <w:pBdr>
        <w:top w:val="single" w:color="000000" w:sz="6" w:space="1"/>
      </w:pBdr>
    </w:pPr>
    <w:rPr>
      <w:rFonts w:ascii="Arial" w:hAnsi="Arial"/>
      <w:vanish/>
      <w:sz w:val="16"/>
      <w:szCs w:val="16"/>
    </w:rPr>
  </w:style>
  <w:style w:type="paragraph" w:styleId="1352" w:customStyle="1">
    <w:name w:val="Char Char1 Char"/>
    <w:basedOn w:val="664"/>
    <w:uiPriority w:val="0"/>
    <w:qFormat/>
    <w:pPr>
      <w:jc w:val="left"/>
      <w:spacing w:after="160" w:line="240" w:lineRule="exact"/>
      <w:widowControl/>
    </w:pPr>
    <w:rPr>
      <w:rFonts w:ascii="Verdana" w:hAnsi="Verdana"/>
      <w:sz w:val="20"/>
      <w:szCs w:val="20"/>
      <w:lang w:eastAsia="en-US"/>
    </w:rPr>
  </w:style>
  <w:style w:type="paragraph" w:styleId="1353" w:customStyle="1">
    <w:name w:val="样式4 Char"/>
    <w:basedOn w:val="664"/>
    <w:uiPriority w:val="0"/>
    <w:qFormat/>
    <w:pPr>
      <w:ind w:firstLine="480"/>
      <w:jc w:val="left"/>
      <w:spacing w:line="360" w:lineRule="auto"/>
      <w:widowControl/>
    </w:pPr>
    <w:rPr>
      <w:rFonts w:cs="宋体"/>
      <w:color w:val="000000"/>
      <w:sz w:val="24"/>
    </w:rPr>
  </w:style>
  <w:style w:type="paragraph" w:styleId="1354" w:customStyle="1">
    <w:name w:val="xl41"/>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55" w:customStyle="1">
    <w:name w:val="丁华标题3"/>
    <w:basedOn w:val="1301"/>
    <w:next w:val="1186"/>
    <w:uiPriority w:val="0"/>
    <w:qFormat/>
    <w:pPr>
      <w:ind w:left="1980" w:hanging="420"/>
      <w:spacing w:after="0"/>
      <w:tabs>
        <w:tab w:val="left" w:pos="1470" w:leader="none"/>
        <w:tab w:val="left" w:pos="1980" w:leader="none"/>
      </w:tabs>
      <w:outlineLvl w:val="2"/>
    </w:pPr>
    <w:rPr>
      <w:sz w:val="24"/>
    </w:rPr>
  </w:style>
  <w:style w:type="paragraph" w:styleId="1356" w:customStyle="1">
    <w:name w:val="Char7"/>
    <w:basedOn w:val="664"/>
    <w:uiPriority w:val="99"/>
    <w:qFormat/>
    <w:pPr>
      <w:jc w:val="left"/>
      <w:spacing w:after="160" w:line="240" w:lineRule="exact"/>
      <w:widowControl/>
    </w:pPr>
    <w:rPr>
      <w:rFonts w:ascii="Verdana" w:hAnsi="Verdana" w:eastAsia="仿宋_GB2312"/>
      <w:sz w:val="24"/>
      <w:szCs w:val="20"/>
      <w:lang w:eastAsia="en-US"/>
    </w:rPr>
  </w:style>
  <w:style w:type="paragraph" w:styleId="1357" w:customStyle="1">
    <w:name w:val="xl31"/>
    <w:basedOn w:val="6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358" w:customStyle="1">
    <w:name w:val="样式 样式 首行缩进:  2 字符 + 行距: 1.5 倍行距"/>
    <w:basedOn w:val="664"/>
    <w:uiPriority w:val="0"/>
    <w:qFormat/>
    <w:pPr>
      <w:ind w:firstLine="470"/>
      <w:spacing w:line="360" w:lineRule="auto"/>
    </w:pPr>
    <w:rPr>
      <w:sz w:val="24"/>
      <w:szCs w:val="20"/>
    </w:rPr>
  </w:style>
  <w:style w:type="paragraph" w:styleId="1359" w:customStyle="1">
    <w:name w:val="符号与编号 Char"/>
    <w:basedOn w:val="664"/>
    <w:uiPriority w:val="0"/>
    <w:qFormat/>
    <w:pPr>
      <w:ind w:left="720"/>
      <w:spacing w:after="156" w:line="400" w:lineRule="atLeast"/>
      <w:tabs>
        <w:tab w:val="left" w:pos="720" w:leader="none"/>
      </w:tabs>
    </w:pPr>
    <w:rPr>
      <w:sz w:val="24"/>
    </w:rPr>
  </w:style>
  <w:style w:type="paragraph" w:styleId="1360" w:customStyle="1">
    <w:name w:val="xl59"/>
    <w:basedOn w:val="6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361" w:customStyle="1">
    <w:name w:val="样式 标题 3H3sect1.2.3BOD 0Heading 3 - oldh3l3CTLevel 3 Head..."/>
    <w:basedOn w:val="848"/>
    <w:uiPriority w:val="0"/>
    <w:qFormat/>
    <w:pPr>
      <w:jc w:val="left"/>
      <w:spacing w:before="156" w:after="156" w:line="390" w:lineRule="atLeast"/>
      <w:shd w:val="clear" w:color="auto" w:fill="ffffff"/>
    </w:pPr>
    <w:rPr>
      <w:rFonts w:ascii="宋体" w:hAnsi="宋体" w:cs="宋体"/>
      <w:bCs/>
      <w:sz w:val="30"/>
      <w:szCs w:val="21"/>
    </w:rPr>
  </w:style>
  <w:style w:type="paragraph" w:styleId="1362" w:customStyle="1">
    <w:name w:val="xl76"/>
    <w:basedOn w:val="664"/>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3" w:customStyle="1">
    <w:name w:val="正文2"/>
    <w:basedOn w:val="664"/>
    <w:uiPriority w:val="0"/>
    <w:qFormat/>
    <w:pPr>
      <w:ind w:firstLine="510"/>
      <w:spacing w:before="156" w:line="360" w:lineRule="auto"/>
    </w:pPr>
    <w:rPr>
      <w:sz w:val="24"/>
      <w:szCs w:val="20"/>
    </w:rPr>
  </w:style>
  <w:style w:type="paragraph" w:styleId="1364" w:customStyle="1">
    <w:name w:val="xl79"/>
    <w:basedOn w:val="664"/>
    <w:uiPriority w:val="99"/>
    <w:qFormat/>
    <w:pPr>
      <w:jc w:val="center"/>
      <w:spacing w:before="100" w:beforeAutospacing="1" w:after="100" w:afterAutospacing="1"/>
      <w:shd w:val="clear" w:color="auto" w:fill="ffffff"/>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365" w:customStyle="1">
    <w:name w:val="正文文本缩进 21"/>
    <w:basedOn w:val="664"/>
    <w:uiPriority w:val="99"/>
    <w:qFormat/>
    <w:pPr>
      <w:ind w:firstLine="525"/>
      <w:spacing w:line="420" w:lineRule="exact"/>
    </w:pPr>
    <w:rPr>
      <w:rFonts w:ascii="宋体" w:hAnsi="宋体"/>
      <w:sz w:val="20"/>
      <w:szCs w:val="20"/>
    </w:rPr>
  </w:style>
  <w:style w:type="paragraph" w:styleId="1366" w:customStyle="1">
    <w:name w:val="xl78"/>
    <w:basedOn w:val="66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7" w:customStyle="1">
    <w:name w:val="xl81"/>
    <w:basedOn w:val="664"/>
    <w:uiPriority w:val="99"/>
    <w:qFormat/>
    <w:pPr>
      <w:jc w:val="center"/>
      <w:spacing w:before="100" w:beforeAutospacing="1" w:after="100" w:afterAutospacing="1"/>
      <w:shd w:val="clear" w:color="auto" w:fill="ffffff"/>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68" w:customStyle="1">
    <w:name w:val="段落"/>
    <w:basedOn w:val="664"/>
    <w:uiPriority w:val="0"/>
    <w:qFormat/>
    <w:pPr>
      <w:ind w:firstLine="480"/>
      <w:spacing w:line="460" w:lineRule="exact"/>
    </w:pPr>
    <w:rPr>
      <w:sz w:val="24"/>
      <w:szCs w:val="20"/>
    </w:rPr>
  </w:style>
  <w:style w:type="paragraph" w:styleId="1369" w:customStyle="1">
    <w:name w:val="列出段落2"/>
    <w:basedOn w:val="664"/>
    <w:uiPriority w:val="99"/>
    <w:qFormat/>
    <w:pPr>
      <w:ind w:left="720"/>
      <w:jc w:val="left"/>
      <w:widowControl/>
    </w:pPr>
    <w:rPr>
      <w:rFonts w:ascii="Arial" w:hAnsi="Arial" w:eastAsia="黑体" w:cs="Arial"/>
      <w:sz w:val="24"/>
      <w:lang w:eastAsia="en-US"/>
    </w:rPr>
  </w:style>
  <w:style w:type="paragraph" w:styleId="1370" w:customStyle="1">
    <w:name w:val="Char Char Char Char Char Char Char Char Char"/>
    <w:basedOn w:val="664"/>
    <w:uiPriority w:val="0"/>
    <w:qFormat/>
    <w:pPr>
      <w:ind w:left="360" w:hanging="360"/>
      <w:tabs>
        <w:tab w:val="left" w:pos="360" w:leader="none"/>
      </w:tabs>
    </w:pPr>
    <w:rPr>
      <w:sz w:val="24"/>
    </w:rPr>
  </w:style>
  <w:style w:type="paragraph" w:styleId="1371"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372" w:customStyle="1">
    <w:name w:val="Char5"/>
    <w:basedOn w:val="847"/>
    <w:uiPriority w:val="99"/>
    <w:qFormat/>
    <w:pPr>
      <w:ind w:firstLine="480"/>
      <w:spacing w:before="100" w:beforeAutospacing="1" w:after="100" w:afterAutospacing="1" w:line="360" w:lineRule="auto"/>
    </w:pPr>
    <w:rPr>
      <w:sz w:val="24"/>
      <w:szCs w:val="24"/>
    </w:rPr>
  </w:style>
  <w:style w:type="paragraph" w:styleId="1373" w:customStyle="1">
    <w:name w:val="标题4，章节第四层"/>
    <w:basedOn w:val="664"/>
    <w:next w:val="664"/>
    <w:uiPriority w:val="0"/>
    <w:qFormat/>
    <w:pPr>
      <w:spacing w:line="360" w:lineRule="auto"/>
      <w:tabs>
        <w:tab w:val="left" w:pos="0" w:leader="none"/>
      </w:tabs>
      <w:outlineLvl w:val="3"/>
    </w:pPr>
    <w:rPr>
      <w:rFonts w:ascii="宋体" w:hAnsi="宋体"/>
      <w:b/>
      <w:sz w:val="24"/>
    </w:rPr>
  </w:style>
  <w:style w:type="paragraph" w:styleId="1374" w:customStyle="1">
    <w:name w:val="xl55"/>
    <w:basedOn w:val="66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375" w:customStyle="1">
    <w:name w:val="小四 段落 宋体 Char Char"/>
    <w:basedOn w:val="664"/>
    <w:uiPriority w:val="0"/>
    <w:qFormat/>
    <w:pPr>
      <w:ind w:firstLine="480"/>
      <w:spacing w:line="360" w:lineRule="auto"/>
    </w:pPr>
    <w:rPr>
      <w:rFonts w:ascii="宋体" w:hAnsi="宋体"/>
      <w:sz w:val="24"/>
    </w:rPr>
  </w:style>
  <w:style w:type="paragraph" w:styleId="1376" w:customStyle="1">
    <w:name w:val="插图"/>
    <w:basedOn w:val="664"/>
    <w:uiPriority w:val="0"/>
    <w:qFormat/>
    <w:pPr>
      <w:jc w:val="center"/>
      <w:tabs>
        <w:tab w:val="left" w:pos="1620" w:leader="none"/>
      </w:tabs>
    </w:pPr>
    <w:rPr>
      <w:bCs/>
      <w:color w:val="000000"/>
      <w:szCs w:val="22"/>
    </w:rPr>
  </w:style>
  <w:style w:type="paragraph" w:styleId="1377" w:customStyle="1">
    <w:name w:val="Char Char1 Char Char Char Char Char Char Char"/>
    <w:basedOn w:val="664"/>
    <w:uiPriority w:val="0"/>
    <w:qFormat/>
    <w:rPr>
      <w:rFonts w:ascii="Tahoma" w:hAnsi="Tahoma" w:cs="Tahoma"/>
      <w:sz w:val="24"/>
      <w:szCs w:val="20"/>
    </w:rPr>
  </w:style>
  <w:style w:type="paragraph" w:styleId="1378" w:customStyle="1">
    <w:name w:val="表蕊"/>
    <w:basedOn w:val="664"/>
    <w:uiPriority w:val="0"/>
    <w:qFormat/>
    <w:pPr>
      <w:jc w:val="left"/>
      <w:spacing w:line="320" w:lineRule="atLeast"/>
    </w:pPr>
    <w:rPr>
      <w:rFonts w:eastAsia="楷体_GB2312"/>
      <w:spacing w:val="-10"/>
      <w:szCs w:val="20"/>
    </w:rPr>
  </w:style>
  <w:style w:type="paragraph" w:styleId="1379" w:customStyle="1">
    <w:name w:val="font8"/>
    <w:basedOn w:val="664"/>
    <w:uiPriority w:val="0"/>
    <w:qFormat/>
    <w:pPr>
      <w:jc w:val="left"/>
      <w:spacing w:before="100" w:beforeAutospacing="1" w:after="100" w:afterAutospacing="1"/>
      <w:widowControl/>
    </w:pPr>
    <w:rPr>
      <w:rFonts w:ascii="宋体" w:hAnsi="宋体" w:cs="宋体"/>
      <w:b/>
      <w:bCs/>
      <w:i/>
      <w:iCs/>
      <w:sz w:val="20"/>
      <w:szCs w:val="20"/>
    </w:rPr>
  </w:style>
  <w:style w:type="paragraph" w:styleId="1380" w:customStyle="1">
    <w:name w:val="一级标题"/>
    <w:basedOn w:val="664"/>
    <w:uiPriority w:val="0"/>
    <w:qFormat/>
    <w:pPr>
      <w:ind w:left="900" w:hanging="420"/>
      <w:spacing w:line="360" w:lineRule="auto"/>
      <w:tabs>
        <w:tab w:val="left" w:pos="903" w:leader="none"/>
      </w:tabs>
    </w:pPr>
    <w:rPr>
      <w:rFonts w:ascii="Arial" w:hAnsi="Arial" w:cs="Arial"/>
      <w:sz w:val="24"/>
      <w:szCs w:val="20"/>
    </w:rPr>
  </w:style>
  <w:style w:type="paragraph" w:styleId="1381" w:customStyle="1">
    <w:name w:val="样式 加点正文 + 段前: 0.5 行 段后: 0.5 行1"/>
    <w:basedOn w:val="664"/>
    <w:uiPriority w:val="0"/>
    <w:qFormat/>
    <w:pPr>
      <w:ind w:left="1268" w:hanging="780"/>
      <w:spacing w:before="156" w:after="156" w:line="300" w:lineRule="auto"/>
      <w:tabs>
        <w:tab w:val="left" w:pos="420" w:leader="none"/>
        <w:tab w:val="left" w:pos="1268" w:leader="none"/>
      </w:tabs>
    </w:pPr>
    <w:rPr>
      <w:sz w:val="24"/>
      <w:szCs w:val="20"/>
    </w:rPr>
  </w:style>
  <w:style w:type="paragraph" w:styleId="1382" w:customStyle="1">
    <w:name w:val="无间隔2"/>
    <w:uiPriority w:val="0"/>
    <w:qFormat/>
    <w:pPr>
      <w:jc w:val="both"/>
      <w:widowControl w:val="off"/>
    </w:pPr>
    <w:rPr>
      <w:rFonts w:ascii="Calibri" w:hAnsi="Calibri" w:eastAsia="微软雅黑" w:cs="Times New Roman"/>
      <w:sz w:val="24"/>
      <w:szCs w:val="22"/>
      <w:lang w:val="en-US" w:eastAsia="zh-CN" w:bidi="ar-SA"/>
    </w:rPr>
  </w:style>
  <w:style w:type="paragraph" w:styleId="1383" w:customStyle="1">
    <w:name w:val="表头_5"/>
    <w:basedOn w:val="664"/>
    <w:uiPriority w:val="0"/>
    <w:qFormat/>
    <w:pPr>
      <w:spacing w:line="360" w:lineRule="auto"/>
    </w:pPr>
    <w:rPr>
      <w:b/>
      <w:bCs/>
      <w:sz w:val="28"/>
      <w:szCs w:val="21"/>
    </w:rPr>
  </w:style>
  <w:style w:type="paragraph" w:styleId="1384" w:customStyle="1">
    <w:name w:val="文档正文"/>
    <w:basedOn w:val="664"/>
    <w:uiPriority w:val="0"/>
    <w:qFormat/>
    <w:pPr>
      <w:spacing w:line="360" w:lineRule="auto"/>
    </w:pPr>
    <w:rPr>
      <w:rFonts w:ascii="宋体" w:hAnsi="宋体"/>
      <w:b/>
      <w:bCs/>
    </w:rPr>
  </w:style>
  <w:style w:type="paragraph" w:styleId="1385" w:customStyle="1">
    <w:name w:val="xl37"/>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386" w:customStyle="1">
    <w:name w:val="Char Char Char Char Char Char"/>
    <w:basedOn w:val="664"/>
    <w:uiPriority w:val="0"/>
    <w:qFormat/>
    <w:rPr>
      <w:rFonts w:ascii="Tahoma" w:hAnsi="Tahoma" w:cs="Tahoma"/>
      <w:sz w:val="24"/>
      <w:szCs w:val="20"/>
    </w:rPr>
  </w:style>
  <w:style w:type="paragraph" w:styleId="1387" w:customStyle="1">
    <w:name w:val="Body Text 21"/>
    <w:basedOn w:val="664"/>
    <w:uiPriority w:val="0"/>
    <w:qFormat/>
    <w:pPr>
      <w:ind w:left="720" w:hanging="720"/>
      <w:widowControl/>
    </w:pPr>
    <w:rPr>
      <w:sz w:val="24"/>
      <w:szCs w:val="20"/>
      <w:lang w:val="en-GB"/>
    </w:rPr>
  </w:style>
  <w:style w:type="paragraph" w:styleId="1388" w:customStyle="1">
    <w:name w:val="样式2"/>
    <w:basedOn w:val="664"/>
    <w:uiPriority w:val="0"/>
    <w:qFormat/>
    <w:pPr>
      <w:ind w:left="200"/>
      <w:spacing w:line="360" w:lineRule="auto"/>
    </w:pPr>
    <w:rPr>
      <w:rFonts w:ascii="宋体" w:hAnsi="宋体"/>
      <w:b/>
      <w:sz w:val="24"/>
    </w:rPr>
  </w:style>
  <w:style w:type="paragraph" w:styleId="1389" w:customStyle="1">
    <w:name w:val="Char4"/>
    <w:basedOn w:val="847"/>
    <w:uiPriority w:val="99"/>
    <w:qFormat/>
    <w:pPr>
      <w:ind w:firstLine="480"/>
      <w:spacing w:before="100" w:beforeAutospacing="1" w:after="100" w:afterAutospacing="1" w:line="360" w:lineRule="auto"/>
    </w:pPr>
    <w:rPr>
      <w:sz w:val="24"/>
      <w:szCs w:val="24"/>
    </w:rPr>
  </w:style>
  <w:style w:type="paragraph" w:styleId="1390" w:customStyle="1">
    <w:name w:val="xl35"/>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391" w:customStyle="1">
    <w:name w:val="二级条标题"/>
    <w:basedOn w:val="664"/>
    <w:next w:val="1217"/>
    <w:uiPriority w:val="0"/>
    <w:qFormat/>
    <w:pPr>
      <w:ind w:hanging="420"/>
      <w:widowControl/>
      <w:tabs>
        <w:tab w:val="left" w:pos="2240" w:leader="none"/>
      </w:tabs>
      <w:outlineLvl w:val="3"/>
    </w:pPr>
    <w:rPr>
      <w:rFonts w:eastAsia="黑体"/>
      <w:szCs w:val="20"/>
    </w:rPr>
  </w:style>
  <w:style w:type="paragraph" w:styleId="1392" w:customStyle="1">
    <w:name w:val="xl56"/>
    <w:basedOn w:val="66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393" w:customStyle="1">
    <w:name w:val="Table Text Char"/>
    <w:uiPriority w:val="0"/>
    <w:qFormat/>
    <w:pPr>
      <w:spacing w:before="80" w:after="80"/>
    </w:pPr>
    <w:rPr>
      <w:rFonts w:ascii="Arial" w:hAnsi="Arial" w:eastAsia="宋体" w:cs="Arial"/>
      <w:sz w:val="18"/>
      <w:szCs w:val="28"/>
      <w:lang w:val="en-US" w:eastAsia="zh-CN" w:bidi="ar-SA"/>
    </w:rPr>
  </w:style>
  <w:style w:type="paragraph" w:styleId="1394" w:customStyle="1">
    <w:name w:val="样式"/>
    <w:basedOn w:val="664"/>
    <w:uiPriority w:val="0"/>
    <w:qFormat/>
    <w:pPr>
      <w:spacing w:before="120" w:after="120" w:line="360" w:lineRule="auto"/>
    </w:pPr>
    <w:rPr>
      <w:rFonts w:ascii="宋体"/>
      <w:sz w:val="24"/>
      <w:szCs w:val="20"/>
    </w:rPr>
  </w:style>
  <w:style w:type="paragraph" w:styleId="1395" w:customStyle="1">
    <w:name w:val="正文文本 22"/>
    <w:basedOn w:val="664"/>
    <w:uiPriority w:val="0"/>
    <w:qFormat/>
    <w:pPr>
      <w:ind w:left="720" w:hanging="720"/>
      <w:widowControl/>
    </w:pPr>
    <w:rPr>
      <w:sz w:val="24"/>
      <w:szCs w:val="20"/>
      <w:lang w:val="en-GB"/>
    </w:rPr>
  </w:style>
  <w:style w:type="paragraph" w:styleId="1396" w:customStyle="1">
    <w:name w:val="xl66"/>
    <w:basedOn w:val="664"/>
    <w:uiPriority w:val="99"/>
    <w:qFormat/>
    <w:pPr>
      <w:jc w:val="center"/>
      <w:spacing w:before="100" w:beforeAutospacing="1" w:after="100" w:afterAutospacing="1"/>
      <w:widowControl/>
      <w:pBdr>
        <w:top w:val="single" w:color="000000" w:sz="4" w:space="0"/>
        <w:bottom w:val="single" w:color="000000" w:sz="4" w:space="0"/>
      </w:pBdr>
    </w:pPr>
    <w:rPr>
      <w:rFonts w:ascii="宋体" w:hAnsi="宋体" w:cs="宋体"/>
      <w:sz w:val="24"/>
    </w:rPr>
  </w:style>
  <w:style w:type="paragraph" w:styleId="1397" w:customStyle="1">
    <w:name w:val="正文文本缩进1"/>
    <w:basedOn w:val="664"/>
    <w:uiPriority w:val="0"/>
    <w:qFormat/>
    <w:pPr>
      <w:ind w:left="420"/>
      <w:spacing w:after="120"/>
    </w:pPr>
  </w:style>
  <w:style w:type="paragraph" w:styleId="1398" w:customStyle="1">
    <w:name w:val="font13"/>
    <w:basedOn w:val="664"/>
    <w:uiPriority w:val="0"/>
    <w:qFormat/>
    <w:pPr>
      <w:jc w:val="left"/>
      <w:spacing w:before="100" w:beforeAutospacing="1" w:after="100" w:afterAutospacing="1"/>
      <w:widowControl/>
    </w:pPr>
    <w:rPr>
      <w:i/>
      <w:iCs/>
      <w:sz w:val="36"/>
      <w:szCs w:val="36"/>
    </w:rPr>
  </w:style>
  <w:style w:type="paragraph" w:styleId="1399" w:customStyle="1">
    <w:name w:val="xl80"/>
    <w:basedOn w:val="664"/>
    <w:uiPriority w:val="99"/>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400" w:customStyle="1">
    <w:name w:val="Blockquote"/>
    <w:basedOn w:val="664"/>
    <w:uiPriority w:val="0"/>
    <w:qFormat/>
    <w:pPr>
      <w:ind w:left="360" w:right="360"/>
      <w:jc w:val="left"/>
      <w:spacing w:before="100" w:after="100"/>
    </w:pPr>
    <w:rPr>
      <w:sz w:val="24"/>
      <w:szCs w:val="20"/>
    </w:rPr>
  </w:style>
  <w:style w:type="paragraph" w:styleId="1401" w:customStyle="1">
    <w:name w:val="font11"/>
    <w:basedOn w:val="664"/>
    <w:uiPriority w:val="0"/>
    <w:qFormat/>
    <w:pPr>
      <w:jc w:val="left"/>
      <w:spacing w:before="100" w:beforeAutospacing="1" w:after="100" w:afterAutospacing="1"/>
      <w:widowControl/>
    </w:pPr>
    <w:rPr>
      <w:b/>
      <w:bCs/>
      <w:sz w:val="18"/>
      <w:szCs w:val="18"/>
    </w:rPr>
  </w:style>
  <w:style w:type="paragraph" w:styleId="1402" w:customStyle="1">
    <w:name w:val="xl72"/>
    <w:basedOn w:val="664"/>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03" w:customStyle="1">
    <w:name w:val="正文 + 行距: 固定值 20 磅"/>
    <w:basedOn w:val="664"/>
    <w:uiPriority w:val="0"/>
    <w:qFormat/>
    <w:pPr>
      <w:ind w:firstLine="716"/>
      <w:spacing w:line="400" w:lineRule="exact"/>
    </w:pPr>
    <w:rPr>
      <w:szCs w:val="20"/>
    </w:rPr>
  </w:style>
  <w:style w:type="paragraph" w:styleId="1404" w:customStyle="1">
    <w:name w:val="xl49"/>
    <w:basedOn w:val="664"/>
    <w:uiPriority w:val="0"/>
    <w:qFormat/>
    <w:pPr>
      <w:jc w:val="center"/>
      <w:spacing w:before="100" w:beforeAutospacing="1" w:after="100" w:afterAutospacing="1"/>
      <w:widowControl/>
      <w:pBdr>
        <w:left w:val="single" w:color="000000" w:sz="4" w:space="0"/>
        <w:right w:val="single" w:color="000000" w:sz="4" w:space="0"/>
      </w:pBdr>
    </w:pPr>
    <w:rPr>
      <w:b/>
      <w:bCs/>
      <w:sz w:val="20"/>
      <w:szCs w:val="20"/>
    </w:rPr>
  </w:style>
  <w:style w:type="character" w:styleId="1405" w:customStyle="1">
    <w:name w:val="正文文本首行缩进 字符1"/>
    <w:uiPriority w:val="0"/>
    <w:semiHidden/>
    <w:qFormat/>
    <w:rPr>
      <w:rFonts w:ascii="楷体_GB2312" w:hAnsi="Arial" w:eastAsia="楷体_GB2312" w:cs="Times New Roman"/>
      <w:sz w:val="21"/>
      <w:szCs w:val="24"/>
    </w:rPr>
  </w:style>
  <w:style w:type="character" w:styleId="1406" w:customStyle="1">
    <w:name w:val="正文文本 Char2"/>
    <w:uiPriority w:val="0"/>
    <w:qFormat/>
    <w:rPr>
      <w:rFonts w:ascii="楷体_GB2312" w:hAnsi="Arial" w:eastAsia="楷体_GB2312"/>
      <w:sz w:val="28"/>
    </w:rPr>
  </w:style>
  <w:style w:type="paragraph" w:styleId="1407" w:customStyle="1">
    <w:name w:val="TOC 标题2"/>
    <w:basedOn w:val="845"/>
    <w:next w:val="664"/>
    <w:uiPriority w:val="0"/>
    <w:qFormat/>
    <w:pPr>
      <w:jc w:val="center"/>
      <w:keepLines/>
      <w:spacing w:before="340" w:after="330" w:line="578" w:lineRule="atLeast"/>
      <w:outlineLvl w:val="9"/>
    </w:pPr>
    <w:rPr>
      <w:rFonts w:ascii="Times New Roman" w:hAnsi="Times New Roman" w:eastAsia="宋体"/>
      <w:b/>
      <w:bCs/>
      <w:sz w:val="30"/>
      <w:szCs w:val="44"/>
    </w:rPr>
  </w:style>
  <w:style w:type="paragraph" w:styleId="1408" w:customStyle="1">
    <w:name w:val="样式 正文缩进正文（首行缩进两字）特点ALT+Z表正文正文非缩进四号段1Normal Indent Char2...4"/>
    <w:basedOn w:val="872"/>
    <w:uiPriority w:val="0"/>
    <w:qFormat/>
    <w:pPr>
      <w:ind w:left="1050" w:hanging="840"/>
      <w:spacing w:line="360" w:lineRule="auto"/>
      <w:widowControl/>
    </w:pPr>
    <w:rPr>
      <w:rFonts w:ascii="宋体" w:hAnsi="宋体" w:eastAsia="宋体" w:cs="Arial"/>
      <w:bCs/>
      <w:sz w:val="24"/>
      <w:szCs w:val="24"/>
      <w:lang w:eastAsia="zh-CN"/>
    </w:rPr>
  </w:style>
  <w:style w:type="character" w:styleId="1409" w:customStyle="1">
    <w:name w:val="图片标题文字 Char"/>
    <w:link w:val="1410"/>
    <w:uiPriority w:val="0"/>
    <w:qFormat/>
    <w:rPr>
      <w:rFonts w:ascii="宋体" w:hAnsi="宋体" w:eastAsia="宋体"/>
      <w:b/>
      <w:sz w:val="24"/>
    </w:rPr>
  </w:style>
  <w:style w:type="paragraph" w:styleId="1410" w:customStyle="1">
    <w:name w:val="图片标题文字"/>
    <w:basedOn w:val="664"/>
    <w:next w:val="664"/>
    <w:link w:val="1409"/>
    <w:uiPriority w:val="0"/>
    <w:qFormat/>
    <w:pPr>
      <w:ind w:firstLine="1044"/>
      <w:jc w:val="center"/>
      <w:spacing w:line="360" w:lineRule="auto"/>
    </w:pPr>
    <w:rPr>
      <w:rFonts w:ascii="宋体" w:hAnsi="宋体"/>
      <w:b/>
      <w:sz w:val="24"/>
    </w:rPr>
  </w:style>
  <w:style w:type="paragraph" w:styleId="1411" w:customStyle="1">
    <w:name w:val="表格文本"/>
    <w:basedOn w:val="664"/>
    <w:next w:val="664"/>
    <w:uiPriority w:val="0"/>
    <w:qFormat/>
    <w:pPr>
      <w:jc w:val="center"/>
      <w:widowControl/>
    </w:pPr>
    <w:rPr>
      <w:rFonts w:hint="eastAsia" w:ascii="黑体" w:hAnsi="黑体"/>
      <w:bCs/>
      <w:color w:val="000000"/>
      <w:sz w:val="24"/>
    </w:rPr>
  </w:style>
  <w:style w:type="paragraph" w:styleId="1412" w:customStyle="1">
    <w:name w:val="图片居中"/>
    <w:basedOn w:val="664"/>
    <w:uiPriority w:val="0"/>
    <w:qFormat/>
    <w:pPr>
      <w:jc w:val="center"/>
      <w:spacing w:line="360" w:lineRule="auto"/>
    </w:pPr>
    <w:rPr>
      <w:rFonts w:ascii="宋体" w:hAnsi="宋体"/>
      <w:sz w:val="24"/>
    </w:rPr>
  </w:style>
  <w:style w:type="numbering" w:styleId="181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emf"/><Relationship Id="rId14" Type="http://schemas.openxmlformats.org/officeDocument/2006/relationships/image" Target="media/image2.emf"/><Relationship Id="rId15" Type="http://schemas.openxmlformats.org/officeDocument/2006/relationships/image" Target="media/image3.emf"/><Relationship Id="rId16" Type="http://schemas.openxmlformats.org/officeDocument/2006/relationships/image" Target="media/image4.emf"/><Relationship Id="rId17" Type="http://schemas.openxmlformats.org/officeDocument/2006/relationships/image" Target="media/image5.emf"/><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emf"/><Relationship Id="rId29" Type="http://schemas.openxmlformats.org/officeDocument/2006/relationships/image" Target="media/image17.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钱旭军</cp:lastModifiedBy>
  <cp:revision>5</cp:revision>
  <dcterms:created xsi:type="dcterms:W3CDTF">2026-07-22T08:03:00Z</dcterms:created>
  <dcterms:modified xsi:type="dcterms:W3CDTF">2026-07-27T09:20:43Z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eyJoZGlkIjoiM2MyZWM1ZTJlOGI5ZjQ4YmIwNGI3NjRjODZjYjM1NjkiLCJ1c2VySWQiOiIxMDQyMzcwNzQyIn0=</vt:lpwstr>
  </property>
  <property fmtid="{D5CDD505-2E9C-101B-9397-08002B2CF9AE}" pid="3" name="KSOProductBuildVer">
    <vt:lpwstr>2052-12.1.0.26884</vt:lpwstr>
  </property>
  <property fmtid="{D5CDD505-2E9C-101B-9397-08002B2CF9AE}" pid="4" name="ICV">
    <vt:lpwstr>D6C775B361F441AFB0815932855D5316_13</vt:lpwstr>
  </property>
</Properties>
</file>